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Theme="minorEastAsia"/>
          <w:b/>
          <w:sz w:val="32"/>
          <w:szCs w:val="32"/>
          <w:lang w:eastAsia="zh-CN"/>
        </w:rPr>
      </w:pPr>
      <w:r>
        <w:rPr>
          <w:rFonts w:hint="eastAsia" w:eastAsiaTheme="minorEastAsia"/>
          <w:b/>
          <w:sz w:val="32"/>
          <w:szCs w:val="32"/>
          <w:lang w:eastAsia="zh-CN"/>
        </w:rPr>
        <w:t>《</w:t>
      </w:r>
      <w:r>
        <w:rPr>
          <w:rFonts w:hint="eastAsia" w:ascii="宋体" w:hAnsi="宋体" w:eastAsia="宋体"/>
          <w:b/>
          <w:sz w:val="32"/>
          <w:szCs w:val="32"/>
          <w:lang w:eastAsia="zh-CN"/>
        </w:rPr>
        <w:t>风险管理</w:t>
      </w:r>
      <w:r>
        <w:rPr>
          <w:rFonts w:hint="eastAsia" w:eastAsiaTheme="minorEastAsia"/>
          <w:b/>
          <w:sz w:val="32"/>
          <w:szCs w:val="32"/>
          <w:lang w:eastAsia="zh-CN"/>
        </w:rPr>
        <w:t>》课程教学大纲</w:t>
      </w:r>
    </w:p>
    <w:tbl>
      <w:tblPr>
        <w:tblStyle w:val="5"/>
        <w:tblW w:w="940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9"/>
        <w:gridCol w:w="1360"/>
        <w:gridCol w:w="369"/>
        <w:gridCol w:w="623"/>
        <w:gridCol w:w="1550"/>
        <w:gridCol w:w="1665"/>
        <w:gridCol w:w="45"/>
        <w:gridCol w:w="851"/>
        <w:gridCol w:w="708"/>
        <w:gridCol w:w="490"/>
        <w:gridCol w:w="10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551" w:type="dxa"/>
            <w:gridSpan w:val="5"/>
            <w:vAlign w:val="center"/>
          </w:tcPr>
          <w:p>
            <w:pPr>
              <w:tabs>
                <w:tab w:val="left" w:pos="1440"/>
              </w:tabs>
              <w:spacing w:line="0" w:lineRule="atLeast"/>
              <w:outlineLvl w:val="0"/>
              <w:rPr>
                <w:rFonts w:ascii="宋体" w:hAnsi="宋体"/>
                <w:b/>
                <w:sz w:val="21"/>
                <w:szCs w:val="21"/>
                <w:lang w:eastAsia="zh-TW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课程名称：</w:t>
            </w:r>
            <w:r>
              <w:rPr>
                <w:rFonts w:hint="eastAsia" w:ascii="PMingLiU" w:hAnsi="PMingLiU" w:eastAsia="宋体"/>
                <w:b/>
                <w:sz w:val="21"/>
                <w:szCs w:val="21"/>
                <w:lang w:eastAsia="zh-CN"/>
              </w:rPr>
              <w:t>风险管理</w:t>
            </w:r>
          </w:p>
        </w:tc>
        <w:tc>
          <w:tcPr>
            <w:tcW w:w="4850" w:type="dxa"/>
            <w:gridSpan w:val="6"/>
            <w:vAlign w:val="center"/>
          </w:tcPr>
          <w:p>
            <w:pPr>
              <w:tabs>
                <w:tab w:val="left" w:pos="1440"/>
              </w:tabs>
              <w:spacing w:line="0" w:lineRule="atLeast"/>
              <w:outlineLvl w:val="0"/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课程类别（必修</w:t>
            </w:r>
            <w:r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  <w:t>/</w:t>
            </w: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选修）：专业选修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11"/>
            <w:vAlign w:val="center"/>
          </w:tcPr>
          <w:p>
            <w:pPr>
              <w:tabs>
                <w:tab w:val="left" w:pos="1440"/>
              </w:tabs>
              <w:spacing w:line="0" w:lineRule="atLeast"/>
              <w:outlineLvl w:val="0"/>
              <w:rPr>
                <w:rFonts w:ascii="宋体" w:hAnsi="宋体"/>
                <w:b/>
                <w:sz w:val="21"/>
                <w:szCs w:val="21"/>
                <w:lang w:eastAsia="zh-TW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课程英文名称：</w:t>
            </w:r>
            <w:r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  <w:t>Risk management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551" w:type="dxa"/>
            <w:gridSpan w:val="5"/>
            <w:vAlign w:val="center"/>
          </w:tcPr>
          <w:p>
            <w:pPr>
              <w:tabs>
                <w:tab w:val="left" w:pos="1440"/>
              </w:tabs>
              <w:spacing w:line="0" w:lineRule="atLeast"/>
              <w:outlineLvl w:val="0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总学时</w:t>
            </w:r>
            <w:r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  <w:t>/</w:t>
            </w: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周学时</w:t>
            </w:r>
            <w:r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  <w:t>/</w:t>
            </w: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学分：</w:t>
            </w:r>
            <w:r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  <w:t>48/3/3</w:t>
            </w:r>
          </w:p>
        </w:tc>
        <w:tc>
          <w:tcPr>
            <w:tcW w:w="4850" w:type="dxa"/>
            <w:gridSpan w:val="6"/>
            <w:vAlign w:val="center"/>
          </w:tcPr>
          <w:p>
            <w:pPr>
              <w:tabs>
                <w:tab w:val="left" w:pos="1440"/>
              </w:tabs>
              <w:spacing w:line="0" w:lineRule="atLeast"/>
              <w:outlineLvl w:val="0"/>
              <w:rPr>
                <w:rFonts w:ascii="宋体" w:hAnsi="宋体"/>
                <w:b/>
                <w:sz w:val="21"/>
                <w:szCs w:val="21"/>
                <w:lang w:eastAsia="zh-TW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其中实验学时：</w:t>
            </w:r>
            <w:r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551" w:type="dxa"/>
            <w:gridSpan w:val="5"/>
            <w:vAlign w:val="center"/>
          </w:tcPr>
          <w:p>
            <w:pPr>
              <w:tabs>
                <w:tab w:val="left" w:pos="1440"/>
              </w:tabs>
              <w:spacing w:line="0" w:lineRule="atLeast"/>
              <w:outlineLvl w:val="0"/>
              <w:rPr>
                <w:rFonts w:ascii="宋体" w:hAnsi="宋体"/>
                <w:b/>
                <w:sz w:val="21"/>
                <w:szCs w:val="21"/>
                <w:lang w:eastAsia="zh-TW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先修课程：</w:t>
            </w:r>
            <w:r>
              <w:rPr>
                <w:rFonts w:hint="eastAsia" w:ascii="PMingLiU" w:hAnsi="PMingLiU" w:eastAsia="宋体"/>
                <w:b/>
                <w:sz w:val="21"/>
                <w:szCs w:val="21"/>
                <w:lang w:eastAsia="zh-CN"/>
              </w:rPr>
              <w:t>微观经济学、宏观经济学</w:t>
            </w:r>
          </w:p>
        </w:tc>
        <w:tc>
          <w:tcPr>
            <w:tcW w:w="4850" w:type="dxa"/>
            <w:gridSpan w:val="6"/>
          </w:tcPr>
          <w:p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551" w:type="dxa"/>
            <w:gridSpan w:val="5"/>
            <w:vAlign w:val="center"/>
          </w:tcPr>
          <w:p>
            <w:pPr>
              <w:tabs>
                <w:tab w:val="left" w:pos="1440"/>
              </w:tabs>
              <w:spacing w:line="0" w:lineRule="atLeast"/>
              <w:outlineLvl w:val="0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授课时间：周</w:t>
            </w:r>
            <w:r>
              <w:rPr>
                <w:rFonts w:hint="eastAsia" w:ascii="PMingLiU" w:hAnsi="PMingLiU" w:eastAsia="宋体"/>
                <w:b/>
                <w:sz w:val="21"/>
                <w:szCs w:val="21"/>
                <w:lang w:eastAsia="zh-CN"/>
              </w:rPr>
              <w:t>二</w:t>
            </w:r>
            <w:r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  <w:t>/5-7</w:t>
            </w: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节</w:t>
            </w:r>
          </w:p>
        </w:tc>
        <w:tc>
          <w:tcPr>
            <w:tcW w:w="4850" w:type="dxa"/>
            <w:gridSpan w:val="6"/>
            <w:vAlign w:val="center"/>
          </w:tcPr>
          <w:p>
            <w:pPr>
              <w:tabs>
                <w:tab w:val="left" w:pos="1440"/>
              </w:tabs>
              <w:spacing w:line="0" w:lineRule="atLeast"/>
              <w:outlineLvl w:val="0"/>
              <w:rPr>
                <w:rFonts w:ascii="宋体" w:hAnsi="宋体"/>
                <w:b/>
                <w:sz w:val="21"/>
                <w:szCs w:val="21"/>
                <w:lang w:eastAsia="zh-TW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授课地点：</w:t>
            </w:r>
            <w:r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  <w:t>3209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11"/>
            <w:vAlign w:val="center"/>
          </w:tcPr>
          <w:p>
            <w:pPr>
              <w:tabs>
                <w:tab w:val="left" w:pos="1440"/>
              </w:tabs>
              <w:spacing w:line="0" w:lineRule="atLeast"/>
              <w:outlineLvl w:val="0"/>
              <w:rPr>
                <w:rFonts w:ascii="宋体" w:hAnsi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授课对象：</w:t>
            </w:r>
            <w:r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  <w:t>2018</w:t>
            </w: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级经济与金融专业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11"/>
            <w:vAlign w:val="center"/>
          </w:tcPr>
          <w:p>
            <w:pPr>
              <w:tabs>
                <w:tab w:val="left" w:pos="1440"/>
              </w:tabs>
              <w:spacing w:line="0" w:lineRule="atLeast"/>
              <w:outlineLvl w:val="0"/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开课院系：粤台产业科技学院经济与金融</w:t>
            </w:r>
            <w:r>
              <w:rPr>
                <w:rFonts w:hint="eastAsia" w:ascii="PMingLiU" w:hAnsi="PMingLiU" w:eastAsia="宋体"/>
                <w:b/>
                <w:sz w:val="21"/>
                <w:szCs w:val="21"/>
                <w:lang w:eastAsia="zh-CN"/>
              </w:rPr>
              <w:t>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11"/>
            <w:vAlign w:val="center"/>
          </w:tcPr>
          <w:p>
            <w:pPr>
              <w:tabs>
                <w:tab w:val="left" w:pos="1440"/>
              </w:tabs>
              <w:spacing w:line="0" w:lineRule="atLeast"/>
              <w:outlineLvl w:val="0"/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任课教师姓名</w:t>
            </w:r>
            <w:r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  <w:t>/</w:t>
            </w: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职称：谢松霖</w:t>
            </w:r>
            <w:r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  <w:t>/</w:t>
            </w: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551" w:type="dxa"/>
            <w:gridSpan w:val="5"/>
            <w:vAlign w:val="center"/>
          </w:tcPr>
          <w:p>
            <w:pPr>
              <w:tabs>
                <w:tab w:val="left" w:pos="1440"/>
              </w:tabs>
              <w:spacing w:line="0" w:lineRule="atLeast"/>
              <w:outlineLvl w:val="0"/>
              <w:rPr>
                <w:rFonts w:ascii="宋体" w:hAnsi="宋体"/>
                <w:b/>
                <w:sz w:val="21"/>
                <w:szCs w:val="21"/>
                <w:lang w:eastAsia="zh-TW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联系电话：</w:t>
            </w:r>
            <w:r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  <w:t>13539025375</w:t>
            </w:r>
          </w:p>
        </w:tc>
        <w:tc>
          <w:tcPr>
            <w:tcW w:w="4850" w:type="dxa"/>
            <w:gridSpan w:val="6"/>
            <w:vAlign w:val="center"/>
          </w:tcPr>
          <w:p>
            <w:pPr>
              <w:tabs>
                <w:tab w:val="left" w:pos="1440"/>
              </w:tabs>
              <w:spacing w:line="0" w:lineRule="atLeast"/>
              <w:outlineLvl w:val="0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  <w:t>Email:handsomesony@126.com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11"/>
            <w:vAlign w:val="center"/>
          </w:tcPr>
          <w:p>
            <w:pPr>
              <w:tabs>
                <w:tab w:val="left" w:pos="1440"/>
              </w:tabs>
              <w:spacing w:line="0" w:lineRule="atLeast"/>
              <w:outlineLvl w:val="0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答疑时间、地点与方式：周二</w:t>
            </w:r>
            <w:r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  <w:t xml:space="preserve">, </w:t>
            </w: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周</w:t>
            </w:r>
            <w:r>
              <w:rPr>
                <w:rFonts w:hint="eastAsia" w:ascii="PMingLiU" w:hAnsi="PMingLiU" w:eastAsia="宋体"/>
                <w:b/>
                <w:sz w:val="21"/>
                <w:szCs w:val="21"/>
                <w:lang w:eastAsia="zh-CN"/>
              </w:rPr>
              <w:t>三</w:t>
            </w: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全天</w:t>
            </w:r>
            <w:r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  <w:t>/</w:t>
            </w:r>
            <w:r>
              <w:rPr>
                <w:rFonts w:hint="eastAsia" w:ascii="PMingLiU" w:hAnsi="PMingLiU" w:eastAsia="宋体"/>
                <w:b/>
                <w:sz w:val="21"/>
                <w:szCs w:val="21"/>
                <w:lang w:eastAsia="zh-CN"/>
              </w:rPr>
              <w:t>实验楼</w:t>
            </w:r>
            <w:r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  <w:t>203</w:t>
            </w: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办公室</w:t>
            </w:r>
            <w:r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  <w:t>/</w:t>
            </w: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面授与讨论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11"/>
            <w:vAlign w:val="center"/>
          </w:tcPr>
          <w:p>
            <w:pPr>
              <w:tabs>
                <w:tab w:val="left" w:pos="1440"/>
              </w:tabs>
              <w:spacing w:line="0" w:lineRule="atLeast"/>
              <w:outlineLvl w:val="0"/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  <w:lang w:eastAsia="zh-CN"/>
              </w:rPr>
              <w:t>课程考核方式：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开卷</w:t>
            </w: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（√）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闭卷</w:t>
            </w: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（）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课程论文</w:t>
            </w: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（）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其它</w:t>
            </w: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11"/>
            <w:vAlign w:val="center"/>
          </w:tcPr>
          <w:p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hAnsi="宋体"/>
                <w:sz w:val="21"/>
                <w:szCs w:val="21"/>
                <w:lang w:eastAsia="zh-TW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  <w:lang w:eastAsia="zh-CN"/>
              </w:rPr>
              <w:t>使用教材：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《风险管理与金融机构》，第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4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版，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(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加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)</w:t>
            </w:r>
            <w:r>
              <w:rPr>
                <w:rFonts w:hint="eastAsia" w:ascii="PMingLiU" w:hAnsi="PMingLiU" w:eastAsia="宋体"/>
                <w:sz w:val="21"/>
                <w:szCs w:val="21"/>
                <w:lang w:eastAsia="zh-CN"/>
              </w:rPr>
              <w:t>约翰</w:t>
            </w:r>
            <w:r>
              <w:rPr>
                <w:rFonts w:ascii="PMingLiU" w:hAnsi="PMingLiU" w:eastAsia="宋体"/>
                <w:sz w:val="21"/>
                <w:szCs w:val="21"/>
                <w:lang w:eastAsia="zh-CN"/>
              </w:rPr>
              <w:t>.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赫尔，王勇</w:t>
            </w:r>
            <w:r>
              <w:rPr>
                <w:rFonts w:hint="eastAsia" w:ascii="宋体" w:hAnsi="宋体" w:eastAsiaTheme="minorEastAsia"/>
                <w:sz w:val="21"/>
                <w:szCs w:val="21"/>
                <w:lang w:eastAsia="zh-CN"/>
              </w:rPr>
              <w:t>译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，机械工业出版社，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201</w:t>
            </w:r>
            <w:r>
              <w:rPr>
                <w:rFonts w:ascii="PMingLiU" w:hAnsi="PMingLiU" w:eastAsia="宋体"/>
                <w:sz w:val="21"/>
                <w:szCs w:val="21"/>
                <w:lang w:eastAsia="zh-CN"/>
              </w:rPr>
              <w:t>8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年。</w:t>
            </w:r>
          </w:p>
          <w:p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hAnsi="宋体"/>
                <w:sz w:val="21"/>
                <w:szCs w:val="21"/>
                <w:lang w:eastAsia="zh-TW"/>
              </w:rPr>
            </w:pP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ISBN 9787111593362</w:t>
            </w:r>
          </w:p>
          <w:p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hAnsi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  <w:lang w:eastAsia="zh-CN"/>
              </w:rPr>
              <w:t>教学参考资料：</w:t>
            </w:r>
          </w:p>
          <w:p>
            <w:pPr>
              <w:widowControl w:val="0"/>
              <w:numPr>
                <w:ilvl w:val="0"/>
                <w:numId w:val="1"/>
              </w:num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《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Risk Management and Financial Institutions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》，第四版，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 xml:space="preserve"> John C. Hull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，约翰威立商务服务（北京）有限公司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Wiley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，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 xml:space="preserve"> 2014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年。</w:t>
            </w:r>
          </w:p>
          <w:p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hAnsi="宋体" w:eastAsia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2.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《风险管理》，王周伟，机械工业出版社，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2017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11"/>
            <w:vAlign w:val="center"/>
          </w:tcPr>
          <w:p>
            <w:pPr>
              <w:tabs>
                <w:tab w:val="left" w:pos="1440"/>
              </w:tabs>
              <w:spacing w:line="0" w:lineRule="atLeast"/>
              <w:outlineLvl w:val="0"/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课程简介：</w:t>
            </w:r>
          </w:p>
          <w:p>
            <w:pPr>
              <w:tabs>
                <w:tab w:val="left" w:pos="1440"/>
              </w:tabs>
              <w:outlineLvl w:val="0"/>
              <w:rPr>
                <w:rFonts w:ascii="宋体" w:hAnsi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本课程教学</w:t>
            </w:r>
            <w:r>
              <w:rPr>
                <w:rFonts w:hint="eastAsia" w:ascii="PMingLiU" w:hAnsi="PMingLiU" w:eastAsia="宋体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以习近平新时代中国特色社会主义经济思想指导金融发展</w:t>
            </w:r>
            <w:r>
              <w:rPr>
                <w:rFonts w:hint="eastAsia" w:ascii="PMingLiU" w:hAnsi="PMingLiU" w:eastAsia="宋体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了解企业与金融机构各种风险型态，测量及管理风险的方法。风险管理是一门重要且具挑战性的课程，在国际化与金融创新下更显得重要，随着金融机构内模型与数据库的建立、风险的衡量、资本适足率的要求、政府金融监理等发展，都为风险管理带来新的面貌与挑战。教学内容包含：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1.)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金融风险的定义、分类、限制及目的；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2.)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巿场风险的衡量方法；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3.)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风险暴露管理；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4.)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风险价值度、波动率、利率风险、相关等风险指标；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5.)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信用风险及常见的量化模型；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6.)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操作风险、流动性风险与其他风险；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7.)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巴塞尔资木协议、全方位风险管理、新型态风险管理工具。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我们将藉助银行风险管理的主题来提供具体的例子。然而，课程所涵盖的原理与方法是一般性的，适用于所有的企业风险管理。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0" w:hRule="atLeast"/>
          <w:jc w:val="center"/>
        </w:trPr>
        <w:tc>
          <w:tcPr>
            <w:tcW w:w="6216" w:type="dxa"/>
            <w:gridSpan w:val="6"/>
          </w:tcPr>
          <w:p>
            <w:pPr>
              <w:tabs>
                <w:tab w:val="left" w:pos="1440"/>
              </w:tabs>
              <w:spacing w:line="0" w:lineRule="atLeast"/>
              <w:outlineLvl w:val="0"/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课程教学目标</w:t>
            </w:r>
          </w:p>
          <w:p>
            <w:pPr>
              <w:tabs>
                <w:tab w:val="left" w:pos="1440"/>
              </w:tabs>
              <w:spacing w:line="0" w:lineRule="atLeast"/>
              <w:outlineLvl w:val="0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 xml:space="preserve">1. 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培养学生具备专门的风险管理知识</w:t>
            </w: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（理解）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。</w:t>
            </w:r>
          </w:p>
          <w:p>
            <w:pPr>
              <w:tabs>
                <w:tab w:val="left" w:pos="1440"/>
              </w:tabs>
              <w:spacing w:line="0" w:lineRule="atLeast"/>
              <w:outlineLvl w:val="0"/>
              <w:rPr>
                <w:rFonts w:ascii="宋体" w:hAnsi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 xml:space="preserve">2. 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培养顶尖的金融风险控管人员以符合产业界之需求</w:t>
            </w: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（综合）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。</w:t>
            </w:r>
          </w:p>
          <w:p>
            <w:pPr>
              <w:tabs>
                <w:tab w:val="left" w:pos="1440"/>
              </w:tabs>
              <w:spacing w:line="0" w:lineRule="atLeast"/>
              <w:outlineLvl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 xml:space="preserve">3. 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培养学生应用风阾管理于公司与产业界的能力及专业态度</w:t>
            </w: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（综合）</w:t>
            </w:r>
          </w:p>
          <w:p>
            <w:pPr>
              <w:tabs>
                <w:tab w:val="left" w:pos="1440"/>
              </w:tabs>
              <w:spacing w:line="0" w:lineRule="atLeast"/>
              <w:outlineLvl w:val="0"/>
              <w:rPr>
                <w:sz w:val="21"/>
                <w:szCs w:val="21"/>
                <w:lang w:eastAsia="zh-CN"/>
              </w:rPr>
            </w:pPr>
          </w:p>
          <w:p>
            <w:pPr>
              <w:tabs>
                <w:tab w:val="left" w:pos="1440"/>
              </w:tabs>
              <w:spacing w:line="0" w:lineRule="atLeast"/>
              <w:outlineLvl w:val="0"/>
              <w:rPr>
                <w:sz w:val="21"/>
                <w:szCs w:val="21"/>
                <w:lang w:eastAsia="zh-CN"/>
              </w:rPr>
            </w:pPr>
          </w:p>
          <w:p>
            <w:pPr>
              <w:tabs>
                <w:tab w:val="left" w:pos="1440"/>
              </w:tabs>
              <w:spacing w:line="0" w:lineRule="atLeast"/>
              <w:outlineLvl w:val="0"/>
              <w:rPr>
                <w:sz w:val="21"/>
                <w:szCs w:val="21"/>
                <w:lang w:eastAsia="zh-CN"/>
              </w:rPr>
            </w:pPr>
          </w:p>
          <w:p>
            <w:pPr>
              <w:tabs>
                <w:tab w:val="left" w:pos="1440"/>
              </w:tabs>
              <w:spacing w:line="0" w:lineRule="atLeast"/>
              <w:outlineLvl w:val="0"/>
              <w:rPr>
                <w:sz w:val="21"/>
                <w:szCs w:val="21"/>
                <w:lang w:eastAsia="zh-CN"/>
              </w:rPr>
            </w:pPr>
          </w:p>
          <w:p>
            <w:pPr>
              <w:tabs>
                <w:tab w:val="left" w:pos="1440"/>
              </w:tabs>
              <w:spacing w:line="0" w:lineRule="atLeast"/>
              <w:outlineLvl w:val="0"/>
              <w:rPr>
                <w:rFonts w:ascii="宋体" w:hAnsi="宋体"/>
                <w:b/>
                <w:sz w:val="21"/>
                <w:szCs w:val="21"/>
                <w:lang w:eastAsia="zh-CN"/>
              </w:rPr>
            </w:pPr>
          </w:p>
        </w:tc>
        <w:tc>
          <w:tcPr>
            <w:tcW w:w="3185" w:type="dxa"/>
            <w:gridSpan w:val="5"/>
          </w:tcPr>
          <w:p>
            <w:pPr>
              <w:tabs>
                <w:tab w:val="left" w:pos="1440"/>
              </w:tabs>
              <w:spacing w:line="0" w:lineRule="atLeast"/>
              <w:outlineLvl w:val="0"/>
              <w:rPr>
                <w:rFonts w:ascii="宋体" w:hAnsi="宋体" w:eastAsia="宋体"/>
                <w:b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18"/>
                <w:szCs w:val="18"/>
                <w:lang w:eastAsia="zh-CN"/>
              </w:rPr>
              <w:t>本课程与学生核心能力培养之间的关联</w:t>
            </w:r>
            <w:r>
              <w:rPr>
                <w:rFonts w:ascii="宋体" w:hAnsi="宋体" w:eastAsia="宋体"/>
                <w:b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/>
                <w:b/>
                <w:sz w:val="18"/>
                <w:szCs w:val="18"/>
                <w:lang w:eastAsia="zh-CN"/>
              </w:rPr>
              <w:t>授课对象为理工科专业学生的课程填写此栏）：</w:t>
            </w:r>
          </w:p>
          <w:p>
            <w:pPr>
              <w:tabs>
                <w:tab w:val="left" w:pos="1440"/>
              </w:tabs>
              <w:spacing w:line="0" w:lineRule="atLeast"/>
              <w:outlineLvl w:val="0"/>
              <w:rPr>
                <w:rFonts w:ascii="宋体" w:hAnsi="宋体" w:eastAsia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sz w:val="18"/>
                <w:szCs w:val="18"/>
                <w:lang w:eastAsia="zh-CN"/>
              </w:rPr>
              <w:t>■核心能力</w:t>
            </w:r>
            <w:r>
              <w:rPr>
                <w:rFonts w:ascii="宋体" w:hAnsi="宋体" w:eastAsia="宋体"/>
                <w:b/>
                <w:sz w:val="18"/>
                <w:szCs w:val="18"/>
                <w:lang w:eastAsia="zh-CN"/>
              </w:rPr>
              <w:t>1.</w:t>
            </w:r>
          </w:p>
          <w:p>
            <w:pPr>
              <w:tabs>
                <w:tab w:val="left" w:pos="1440"/>
              </w:tabs>
              <w:spacing w:line="0" w:lineRule="atLeast"/>
              <w:outlineLvl w:val="0"/>
              <w:rPr>
                <w:rFonts w:ascii="宋体" w:hAnsi="宋体" w:eastAsia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sz w:val="18"/>
                <w:szCs w:val="18"/>
                <w:lang w:eastAsia="zh-CN"/>
              </w:rPr>
              <w:t>■核心能力</w:t>
            </w:r>
            <w:r>
              <w:rPr>
                <w:rFonts w:ascii="宋体" w:hAnsi="宋体" w:eastAsia="宋体"/>
                <w:b/>
                <w:sz w:val="18"/>
                <w:szCs w:val="18"/>
                <w:lang w:eastAsia="zh-CN"/>
              </w:rPr>
              <w:t>2.</w:t>
            </w:r>
          </w:p>
          <w:p>
            <w:pPr>
              <w:tabs>
                <w:tab w:val="left" w:pos="1440"/>
              </w:tabs>
              <w:spacing w:line="0" w:lineRule="atLeast"/>
              <w:outlineLvl w:val="0"/>
              <w:rPr>
                <w:rFonts w:ascii="宋体" w:hAnsi="宋体" w:eastAsia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sz w:val="18"/>
                <w:szCs w:val="18"/>
                <w:lang w:eastAsia="zh-CN"/>
              </w:rPr>
              <w:t>■核心能力</w:t>
            </w:r>
            <w:r>
              <w:rPr>
                <w:rFonts w:ascii="宋体" w:hAnsi="宋体" w:eastAsia="宋体"/>
                <w:b/>
                <w:sz w:val="18"/>
                <w:szCs w:val="18"/>
                <w:lang w:eastAsia="zh-CN"/>
              </w:rPr>
              <w:t>3.</w:t>
            </w:r>
          </w:p>
          <w:p>
            <w:pPr>
              <w:tabs>
                <w:tab w:val="left" w:pos="1440"/>
              </w:tabs>
              <w:spacing w:line="0" w:lineRule="atLeast"/>
              <w:outlineLvl w:val="0"/>
              <w:rPr>
                <w:rFonts w:ascii="宋体" w:hAnsi="宋体" w:eastAsia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sz w:val="18"/>
                <w:szCs w:val="18"/>
                <w:lang w:eastAsia="zh-CN"/>
              </w:rPr>
              <w:t>■核心能力</w:t>
            </w:r>
            <w:r>
              <w:rPr>
                <w:rFonts w:ascii="宋体" w:hAnsi="宋体" w:eastAsia="宋体"/>
                <w:b/>
                <w:sz w:val="18"/>
                <w:szCs w:val="18"/>
                <w:lang w:eastAsia="zh-CN"/>
              </w:rPr>
              <w:t>4.</w:t>
            </w:r>
          </w:p>
          <w:p>
            <w:pPr>
              <w:tabs>
                <w:tab w:val="left" w:pos="1440"/>
              </w:tabs>
              <w:spacing w:line="0" w:lineRule="atLeast"/>
              <w:outlineLvl w:val="0"/>
              <w:rPr>
                <w:rFonts w:ascii="宋体" w:hAnsi="宋体" w:eastAsia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sz w:val="18"/>
                <w:szCs w:val="18"/>
                <w:lang w:eastAsia="zh-CN"/>
              </w:rPr>
              <w:t>■核心能力</w:t>
            </w:r>
            <w:r>
              <w:rPr>
                <w:rFonts w:ascii="宋体" w:hAnsi="宋体" w:eastAsia="宋体"/>
                <w:b/>
                <w:sz w:val="18"/>
                <w:szCs w:val="18"/>
                <w:lang w:eastAsia="zh-CN"/>
              </w:rPr>
              <w:t>5.</w:t>
            </w:r>
          </w:p>
          <w:p>
            <w:pPr>
              <w:tabs>
                <w:tab w:val="left" w:pos="1440"/>
              </w:tabs>
              <w:spacing w:line="0" w:lineRule="atLeast"/>
              <w:outlineLvl w:val="0"/>
              <w:rPr>
                <w:rFonts w:ascii="宋体" w:hAnsi="宋体"/>
                <w:b/>
                <w:sz w:val="18"/>
                <w:szCs w:val="18"/>
                <w:lang w:eastAsia="zh-TW"/>
              </w:rPr>
            </w:pPr>
            <w:r>
              <w:rPr>
                <w:rFonts w:hint="eastAsia" w:ascii="宋体" w:hAnsi="宋体" w:eastAsia="宋体"/>
                <w:b/>
                <w:sz w:val="18"/>
                <w:szCs w:val="18"/>
                <w:lang w:eastAsia="zh-CN"/>
              </w:rPr>
              <w:t>■核心能力</w:t>
            </w:r>
            <w:r>
              <w:rPr>
                <w:rFonts w:ascii="宋体" w:hAnsi="宋体" w:eastAsia="宋体"/>
                <w:b/>
                <w:sz w:val="18"/>
                <w:szCs w:val="18"/>
                <w:lang w:eastAsia="zh-CN"/>
              </w:rPr>
              <w:t>6.</w:t>
            </w:r>
          </w:p>
          <w:p>
            <w:pPr>
              <w:tabs>
                <w:tab w:val="left" w:pos="1440"/>
              </w:tabs>
              <w:spacing w:line="0" w:lineRule="atLeast"/>
              <w:outlineLvl w:val="0"/>
              <w:rPr>
                <w:rFonts w:ascii="宋体" w:hAnsi="宋体" w:eastAsia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sz w:val="18"/>
                <w:szCs w:val="18"/>
                <w:lang w:eastAsia="zh-CN"/>
              </w:rPr>
              <w:t>■核心能力</w:t>
            </w:r>
            <w:r>
              <w:rPr>
                <w:rFonts w:ascii="宋体" w:hAnsi="宋体" w:eastAsia="宋体"/>
                <w:b/>
                <w:sz w:val="18"/>
                <w:szCs w:val="18"/>
                <w:lang w:eastAsia="zh-CN"/>
              </w:rPr>
              <w:t>7</w:t>
            </w:r>
            <w:r>
              <w:rPr>
                <w:rFonts w:hint="eastAsia" w:ascii="宋体" w:hAnsi="宋体" w:eastAsia="宋体"/>
                <w:b/>
                <w:sz w:val="18"/>
                <w:szCs w:val="18"/>
                <w:lang w:eastAsia="zh-CN"/>
              </w:rPr>
              <w:t>．</w:t>
            </w:r>
          </w:p>
          <w:p>
            <w:pPr>
              <w:tabs>
                <w:tab w:val="left" w:pos="1440"/>
              </w:tabs>
              <w:spacing w:line="0" w:lineRule="atLeast"/>
              <w:outlineLvl w:val="0"/>
              <w:rPr>
                <w:rFonts w:ascii="宋体" w:hAnsi="宋体"/>
                <w:b/>
                <w:sz w:val="21"/>
                <w:szCs w:val="21"/>
                <w:lang w:eastAsia="zh-TW"/>
              </w:rPr>
            </w:pPr>
            <w:r>
              <w:rPr>
                <w:rFonts w:hint="eastAsia" w:ascii="宋体" w:hAnsi="宋体" w:eastAsia="宋体"/>
                <w:b/>
                <w:sz w:val="18"/>
                <w:szCs w:val="18"/>
                <w:lang w:eastAsia="zh-CN"/>
              </w:rPr>
              <w:t>■核心能力</w:t>
            </w:r>
            <w:r>
              <w:rPr>
                <w:rFonts w:ascii="宋体" w:hAnsi="宋体" w:eastAsia="宋体"/>
                <w:b/>
                <w:sz w:val="18"/>
                <w:szCs w:val="18"/>
                <w:lang w:eastAsia="zh-CN"/>
              </w:rPr>
              <w:t>8</w:t>
            </w:r>
            <w:r>
              <w:rPr>
                <w:rFonts w:hint="eastAsia" w:ascii="宋体" w:hAnsi="宋体" w:eastAsia="宋体"/>
                <w:b/>
                <w:sz w:val="18"/>
                <w:szCs w:val="18"/>
                <w:lang w:eastAsia="zh-CN"/>
              </w:rPr>
              <w:t>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11"/>
            <w:shd w:val="clear" w:color="auto" w:fill="C0C0C0"/>
            <w:vAlign w:val="center"/>
          </w:tcPr>
          <w:p>
            <w:pPr>
              <w:tabs>
                <w:tab w:val="left" w:pos="1440"/>
              </w:tabs>
              <w:spacing w:after="0" w:line="0" w:lineRule="atLeast"/>
              <w:jc w:val="center"/>
              <w:outlineLvl w:val="0"/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理论教学进程表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9" w:type="dxa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0" w:lineRule="atLeast"/>
              <w:jc w:val="center"/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1729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0" w:lineRule="atLeast"/>
              <w:jc w:val="center"/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教学主题</w:t>
            </w:r>
          </w:p>
        </w:tc>
        <w:tc>
          <w:tcPr>
            <w:tcW w:w="623" w:type="dxa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0" w:lineRule="atLeast"/>
              <w:jc w:val="center"/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教学时长</w:t>
            </w:r>
          </w:p>
        </w:tc>
        <w:tc>
          <w:tcPr>
            <w:tcW w:w="4111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0" w:lineRule="atLeast"/>
              <w:jc w:val="center"/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教学的重点与难点</w:t>
            </w:r>
          </w:p>
        </w:tc>
        <w:tc>
          <w:tcPr>
            <w:tcW w:w="119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0" w:lineRule="atLeast"/>
              <w:jc w:val="center"/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1091" w:type="dxa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0" w:lineRule="atLeast"/>
              <w:jc w:val="center"/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作业安排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  <w:lang w:eastAsia="zh-TW"/>
              </w:rPr>
            </w:pPr>
            <w:r>
              <w:rPr>
                <w:rFonts w:eastAsia="宋体" w:asciiTheme="minorEastAsia" w:hAnsiTheme="minorEastAsia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729" w:type="dxa"/>
            <w:gridSpan w:val="2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风险管理基本概念与范畴</w:t>
            </w:r>
          </w:p>
        </w:tc>
        <w:tc>
          <w:tcPr>
            <w:tcW w:w="623" w:type="dxa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4111" w:type="dxa"/>
            <w:gridSpan w:val="4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重点：风险与回报，资产订价模型回顾、公司风险、金融机构风险、信用评等</w:t>
            </w:r>
          </w:p>
          <w:p>
            <w:pPr>
              <w:rPr>
                <w:rFonts w:asciiTheme="minorEastAsia" w:hAnsiTheme="minorEastAsia"/>
                <w:sz w:val="21"/>
                <w:szCs w:val="21"/>
                <w:lang w:eastAsia="zh-TW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难点：风险的量化、阿尔法的应用</w:t>
            </w:r>
          </w:p>
          <w:p>
            <w:pPr>
              <w:rPr>
                <w:rFonts w:asciiTheme="minorEastAsia" w:hAnsiTheme="minorEastAsia"/>
                <w:sz w:val="21"/>
                <w:szCs w:val="21"/>
                <w:lang w:eastAsia="zh-TW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课程思政融入点：以习近平新时代中国特色社会主义经济思想指导金融发展，学习各种金融投资工具存在的风险，金融机构的风险，以及信用风险</w:t>
            </w:r>
          </w:p>
        </w:tc>
        <w:tc>
          <w:tcPr>
            <w:tcW w:w="1198" w:type="dxa"/>
            <w:gridSpan w:val="2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课堂讲授</w:t>
            </w:r>
          </w:p>
        </w:tc>
        <w:tc>
          <w:tcPr>
            <w:tcW w:w="1091" w:type="dxa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  <w:lang w:eastAsia="zh-TW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729" w:type="dxa"/>
            <w:gridSpan w:val="2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介绍共同基金及其风险策略</w:t>
            </w:r>
          </w:p>
        </w:tc>
        <w:tc>
          <w:tcPr>
            <w:tcW w:w="623" w:type="dxa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4111" w:type="dxa"/>
            <w:gridSpan w:val="4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重点：共同基金与对冲基金的各种投资策略</w:t>
            </w:r>
          </w:p>
          <w:p>
            <w:pPr>
              <w:rPr>
                <w:rFonts w:asciiTheme="minorEastAsia" w:hAnsiTheme="minorEastAsia"/>
                <w:sz w:val="21"/>
                <w:szCs w:val="21"/>
                <w:lang w:eastAsia="zh-TW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难点：对冲基金的风险策略</w:t>
            </w:r>
          </w:p>
          <w:p>
            <w:pPr>
              <w:rPr>
                <w:rFonts w:asciiTheme="minorEastAsia" w:hAnsiTheme="minorEastAsia"/>
                <w:sz w:val="21"/>
                <w:szCs w:val="21"/>
                <w:lang w:eastAsia="zh-TW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课程思政融入点：以习近平新时代中国特色社会主义经济思想指导金融发展，学习</w:t>
            </w:r>
            <w:r>
              <w:rPr>
                <w:rFonts w:hint="eastAsia" w:ascii="PMingLiU" w:hAnsi="PMingLiU" w:eastAsia="宋体"/>
                <w:sz w:val="21"/>
                <w:szCs w:val="21"/>
                <w:lang w:eastAsia="zh-CN"/>
              </w:rPr>
              <w:t>基金投资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的风险</w:t>
            </w:r>
            <w:r>
              <w:rPr>
                <w:rFonts w:hint="eastAsia" w:ascii="PMingLiU" w:hAnsi="PMingLiU" w:eastAsia="宋体"/>
                <w:sz w:val="21"/>
                <w:szCs w:val="21"/>
                <w:lang w:eastAsia="zh-CN"/>
              </w:rPr>
              <w:t>与策略</w:t>
            </w:r>
          </w:p>
        </w:tc>
        <w:tc>
          <w:tcPr>
            <w:tcW w:w="1198" w:type="dxa"/>
            <w:gridSpan w:val="2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课堂讲授</w:t>
            </w:r>
          </w:p>
        </w:tc>
        <w:tc>
          <w:tcPr>
            <w:tcW w:w="1091" w:type="dxa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  <w:lang w:eastAsia="zh-TW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1729" w:type="dxa"/>
            <w:gridSpan w:val="2"/>
          </w:tcPr>
          <w:p>
            <w:pPr>
              <w:rPr>
                <w:rFonts w:asciiTheme="minorEastAsia" w:hAnsiTheme="minorEastAsia"/>
                <w:sz w:val="21"/>
                <w:szCs w:val="21"/>
                <w:lang w:eastAsia="zh-TW"/>
              </w:rPr>
            </w:pPr>
            <w:r>
              <w:rPr>
                <w:rFonts w:hint="eastAsia" w:eastAsia="宋体" w:asciiTheme="minorEastAsia" w:hAnsiTheme="minorEastAsia"/>
                <w:sz w:val="21"/>
                <w:szCs w:val="21"/>
                <w:lang w:eastAsia="zh-CN"/>
              </w:rPr>
              <w:t>衍生性金融商品</w:t>
            </w:r>
            <w:r>
              <w:rPr>
                <w:rFonts w:eastAsia="宋体" w:asciiTheme="minorEastAsia" w:hAnsiTheme="minorEastAsia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623" w:type="dxa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</w:pPr>
          </w:p>
        </w:tc>
        <w:tc>
          <w:tcPr>
            <w:tcW w:w="4111" w:type="dxa"/>
            <w:gridSpan w:val="4"/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重点：</w:t>
            </w:r>
            <w:r>
              <w:rPr>
                <w:rFonts w:hint="eastAsia" w:eastAsia="宋体" w:asciiTheme="minorEastAsia" w:hAnsiTheme="minorEastAsia"/>
                <w:sz w:val="21"/>
                <w:szCs w:val="21"/>
                <w:lang w:eastAsia="zh-CN"/>
              </w:rPr>
              <w:t>期货市场运作与定价、远期、利率期货</w:t>
            </w:r>
          </w:p>
          <w:p>
            <w:pPr>
              <w:rPr>
                <w:rFonts w:ascii="PMingLiU" w:hAnsi="PMingLiU"/>
                <w:sz w:val="21"/>
                <w:szCs w:val="21"/>
                <w:lang w:eastAsia="zh-TW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难点：</w:t>
            </w:r>
            <w:r>
              <w:rPr>
                <w:rFonts w:hint="eastAsia" w:ascii="PMingLiU" w:hAnsi="PMingLiU" w:eastAsia="宋体"/>
                <w:sz w:val="21"/>
                <w:szCs w:val="21"/>
                <w:lang w:eastAsia="zh-CN"/>
              </w:rPr>
              <w:t>对冲策略操作与互换</w:t>
            </w:r>
          </w:p>
          <w:p>
            <w:pPr>
              <w:rPr>
                <w:rFonts w:asciiTheme="minorEastAsia" w:hAnsiTheme="minorEastAsia"/>
                <w:sz w:val="21"/>
                <w:szCs w:val="21"/>
                <w:lang w:eastAsia="zh-TW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课程思政融入点：以习近平新时代中国特色社会主义经济思想指导金融发展，学习</w:t>
            </w:r>
            <w:r>
              <w:rPr>
                <w:rFonts w:hint="eastAsia" w:eastAsia="宋体" w:asciiTheme="minorEastAsia" w:hAnsiTheme="minorEastAsia"/>
                <w:sz w:val="21"/>
                <w:szCs w:val="21"/>
                <w:lang w:eastAsia="zh-CN"/>
              </w:rPr>
              <w:t>衍生性金融商品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的</w:t>
            </w:r>
            <w:r>
              <w:rPr>
                <w:rFonts w:hint="eastAsia" w:ascii="PMingLiU" w:hAnsi="PMingLiU" w:eastAsia="宋体"/>
                <w:sz w:val="21"/>
                <w:szCs w:val="21"/>
                <w:lang w:eastAsia="zh-CN"/>
              </w:rPr>
              <w:t>对冲策略操作与互换</w:t>
            </w:r>
          </w:p>
        </w:tc>
        <w:tc>
          <w:tcPr>
            <w:tcW w:w="1198" w:type="dxa"/>
            <w:gridSpan w:val="2"/>
          </w:tcPr>
          <w:p>
            <w:pPr>
              <w:rPr>
                <w:rFonts w:asciiTheme="minorEastAsia" w:hAnsiTheme="minorEastAsia"/>
                <w:sz w:val="21"/>
                <w:szCs w:val="21"/>
                <w:lang w:eastAsia="zh-TW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课堂讲授</w:t>
            </w:r>
            <w:r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  <w:t>/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小组讨论</w:t>
            </w:r>
          </w:p>
        </w:tc>
        <w:tc>
          <w:tcPr>
            <w:tcW w:w="1091" w:type="dxa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  <w:lang w:eastAsia="zh-TW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1729" w:type="dxa"/>
            <w:gridSpan w:val="2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eastAsia="宋体" w:asciiTheme="minorEastAsia" w:hAnsiTheme="minorEastAsia"/>
                <w:sz w:val="21"/>
                <w:szCs w:val="21"/>
                <w:lang w:eastAsia="zh-CN"/>
              </w:rPr>
              <w:t>衍生性金融商品</w:t>
            </w:r>
            <w:r>
              <w:rPr>
                <w:rFonts w:eastAsia="宋体" w:asciiTheme="minorEastAsia" w:hAnsiTheme="minor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623" w:type="dxa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4111" w:type="dxa"/>
            <w:gridSpan w:val="4"/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重点：</w:t>
            </w:r>
            <w:r>
              <w:rPr>
                <w:rFonts w:hint="eastAsia" w:ascii="PMingLiU" w:hAnsi="PMingLiU" w:eastAsia="宋体"/>
                <w:sz w:val="21"/>
                <w:szCs w:val="21"/>
                <w:lang w:eastAsia="zh-CN"/>
              </w:rPr>
              <w:t>股票期权</w:t>
            </w:r>
            <w:r>
              <w:rPr>
                <w:rFonts w:hint="eastAsia" w:eastAsia="宋体" w:asciiTheme="minorEastAsia" w:hAnsiTheme="minorEastAsia"/>
                <w:sz w:val="21"/>
                <w:szCs w:val="21"/>
                <w:lang w:eastAsia="zh-CN"/>
              </w:rPr>
              <w:t>市场运作与定价、</w:t>
            </w:r>
            <w:r>
              <w:rPr>
                <w:rFonts w:hint="eastAsia" w:ascii="PMingLiU" w:hAnsi="PMingLiU" w:eastAsia="宋体"/>
                <w:sz w:val="21"/>
                <w:szCs w:val="21"/>
                <w:lang w:eastAsia="zh-CN"/>
              </w:rPr>
              <w:t>股票期权交易策略</w:t>
            </w:r>
          </w:p>
          <w:p>
            <w:pPr>
              <w:rPr>
                <w:rFonts w:ascii="PMingLiU" w:hAnsi="PMingLiU"/>
                <w:sz w:val="21"/>
                <w:szCs w:val="21"/>
                <w:lang w:eastAsia="zh-TW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难点：</w:t>
            </w:r>
            <w:r>
              <w:rPr>
                <w:rFonts w:hint="eastAsia" w:ascii="PMingLiU" w:hAnsi="PMingLiU" w:eastAsia="宋体"/>
                <w:sz w:val="21"/>
                <w:szCs w:val="21"/>
                <w:lang w:eastAsia="zh-CN"/>
              </w:rPr>
              <w:t>期权定价模型与交易策略组合</w:t>
            </w:r>
          </w:p>
          <w:p>
            <w:pPr>
              <w:rPr>
                <w:rFonts w:asciiTheme="minorEastAsia" w:hAnsiTheme="minorEastAsia"/>
                <w:sz w:val="21"/>
                <w:szCs w:val="21"/>
                <w:lang w:eastAsia="zh-TW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课程思政融入点：以习近平新时代中国特色社会主义经济思想指导金融发展，学习</w:t>
            </w:r>
            <w:r>
              <w:rPr>
                <w:rFonts w:hint="eastAsia" w:eastAsia="宋体" w:asciiTheme="minorEastAsia" w:hAnsiTheme="minorEastAsia"/>
                <w:sz w:val="21"/>
                <w:szCs w:val="21"/>
                <w:lang w:eastAsia="zh-CN"/>
              </w:rPr>
              <w:t>衍生性金融商品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的</w:t>
            </w:r>
            <w:r>
              <w:rPr>
                <w:rFonts w:hint="eastAsia" w:ascii="PMingLiU" w:hAnsi="PMingLiU" w:eastAsia="宋体"/>
                <w:sz w:val="21"/>
                <w:szCs w:val="21"/>
                <w:lang w:eastAsia="zh-CN"/>
              </w:rPr>
              <w:t>交易策略组合</w:t>
            </w:r>
          </w:p>
        </w:tc>
        <w:tc>
          <w:tcPr>
            <w:tcW w:w="1198" w:type="dxa"/>
            <w:gridSpan w:val="2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课堂讲授</w:t>
            </w:r>
            <w:r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  <w:t>/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小组讨论</w:t>
            </w:r>
          </w:p>
        </w:tc>
        <w:tc>
          <w:tcPr>
            <w:tcW w:w="1091" w:type="dxa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  <w:lang w:eastAsia="zh-TW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1729" w:type="dxa"/>
            <w:gridSpan w:val="2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如何管理风险暴露</w:t>
            </w:r>
          </w:p>
        </w:tc>
        <w:tc>
          <w:tcPr>
            <w:tcW w:w="623" w:type="dxa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4111" w:type="dxa"/>
            <w:gridSpan w:val="4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重点：介绍常用风险衡量指标，如</w:t>
            </w:r>
            <w:r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  <w:t>Delta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、</w:t>
            </w:r>
            <w:r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  <w:t>Gamma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、</w:t>
            </w:r>
            <w:r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  <w:t>Vega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、</w:t>
            </w:r>
            <w:r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  <w:t>Theta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、</w:t>
            </w:r>
            <w:r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  <w:t>Rho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、</w:t>
            </w:r>
            <w:r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  <w:t>Greek letters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等</w:t>
            </w:r>
          </w:p>
          <w:p>
            <w:pPr>
              <w:rPr>
                <w:rFonts w:asciiTheme="minorEastAsia" w:hAnsiTheme="minorEastAsia"/>
                <w:sz w:val="21"/>
                <w:szCs w:val="21"/>
                <w:lang w:eastAsia="zh-TW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难点：指标使用时机与分析、</w:t>
            </w:r>
            <w:r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  <w:t>Greek letters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的计算与应用</w:t>
            </w:r>
          </w:p>
          <w:p>
            <w:pPr>
              <w:rPr>
                <w:rFonts w:asciiTheme="minorEastAsia" w:hAnsiTheme="minorEastAsia"/>
                <w:sz w:val="21"/>
                <w:szCs w:val="21"/>
                <w:lang w:eastAsia="zh-TW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课程思政融入点：以习近平新时代中国特色社会主义经济思想指导金融发展，学习</w:t>
            </w:r>
            <w:r>
              <w:rPr>
                <w:rFonts w:hint="eastAsia" w:ascii="PMingLiU" w:hAnsi="PMingLiU" w:eastAsia="宋体"/>
                <w:sz w:val="21"/>
                <w:szCs w:val="21"/>
                <w:lang w:eastAsia="zh-CN"/>
              </w:rPr>
              <w:t>各种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风险暴露</w:t>
            </w:r>
          </w:p>
        </w:tc>
        <w:tc>
          <w:tcPr>
            <w:tcW w:w="1198" w:type="dxa"/>
            <w:gridSpan w:val="2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课堂讲授</w:t>
            </w:r>
            <w:r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  <w:t>/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小组讨论</w:t>
            </w:r>
          </w:p>
        </w:tc>
        <w:tc>
          <w:tcPr>
            <w:tcW w:w="1091" w:type="dxa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  <w:lang w:eastAsia="zh-TW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1729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风险价值度</w:t>
            </w:r>
          </w:p>
        </w:tc>
        <w:tc>
          <w:tcPr>
            <w:tcW w:w="623" w:type="dxa"/>
            <w:tcBorders>
              <w:bottom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4111" w:type="dxa"/>
            <w:gridSpan w:val="4"/>
            <w:tcBorders>
              <w:bottom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重点：</w:t>
            </w:r>
            <w:r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  <w:t xml:space="preserve">VaR (value at risk) 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风险评量方法与回测</w:t>
            </w:r>
            <w:r>
              <w:rPr>
                <w:rFonts w:hint="eastAsia" w:ascii="PMingLiU" w:hAnsi="PMingLiU" w:eastAsia="宋体"/>
                <w:sz w:val="21"/>
                <w:szCs w:val="21"/>
                <w:lang w:eastAsia="zh-CN"/>
              </w:rPr>
              <w:t>，</w:t>
            </w:r>
            <w:r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  <w:t>VaR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之测试与限制</w:t>
            </w:r>
          </w:p>
          <w:p>
            <w:pPr>
              <w:rPr>
                <w:rFonts w:asciiTheme="minorEastAsia" w:hAnsiTheme="minorEastAsia"/>
                <w:sz w:val="21"/>
                <w:szCs w:val="21"/>
                <w:lang w:eastAsia="zh-TW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难点：</w:t>
            </w:r>
            <w:r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  <w:t>VaR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的参数选择与回测</w:t>
            </w:r>
            <w:r>
              <w:rPr>
                <w:rFonts w:hint="eastAsia" w:ascii="PMingLiU" w:hAnsi="PMingLiU" w:eastAsia="宋体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实际数据分析操作</w:t>
            </w:r>
          </w:p>
          <w:p>
            <w:pPr>
              <w:rPr>
                <w:rFonts w:asciiTheme="minorEastAsia" w:hAnsiTheme="minorEastAsia"/>
                <w:sz w:val="21"/>
                <w:szCs w:val="21"/>
                <w:lang w:eastAsia="zh-TW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课程思政融入点：以习近平新时代中国特色社会主义经济思想指导金融发展，学习风险价值度</w:t>
            </w:r>
            <w:r>
              <w:rPr>
                <w:rFonts w:hint="eastAsia" w:ascii="PMingLiU" w:hAnsi="PMingLiU" w:eastAsia="宋体"/>
                <w:sz w:val="21"/>
                <w:szCs w:val="21"/>
                <w:lang w:eastAsia="zh-CN"/>
              </w:rPr>
              <w:t>在金融体系的应用</w:t>
            </w:r>
          </w:p>
        </w:tc>
        <w:tc>
          <w:tcPr>
            <w:tcW w:w="1198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课堂讲授</w:t>
            </w:r>
            <w:r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  <w:t>/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小组讨论</w:t>
            </w:r>
          </w:p>
        </w:tc>
        <w:tc>
          <w:tcPr>
            <w:tcW w:w="1091" w:type="dxa"/>
            <w:tcBorders>
              <w:bottom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作业</w:t>
            </w:r>
            <w:r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  <w:t>1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风险价值度计算与分析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64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  <w:lang w:eastAsia="zh-TW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  <w:t>7</w:t>
            </w:r>
          </w:p>
        </w:tc>
        <w:tc>
          <w:tcPr>
            <w:tcW w:w="1729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波动率</w:t>
            </w:r>
          </w:p>
        </w:tc>
        <w:tc>
          <w:tcPr>
            <w:tcW w:w="623" w:type="dxa"/>
            <w:tcBorders>
              <w:bottom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4111" w:type="dxa"/>
            <w:gridSpan w:val="4"/>
            <w:tcBorders>
              <w:bottom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重点：波动率与隐含波动率、模型选择与估计法</w:t>
            </w:r>
            <w:r>
              <w:rPr>
                <w:rFonts w:hint="eastAsia" w:ascii="PMingLiU" w:hAnsi="PMingLiU" w:eastAsia="宋体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波动率之估计与限制</w:t>
            </w:r>
          </w:p>
          <w:p>
            <w:pPr>
              <w:rPr>
                <w:rFonts w:asciiTheme="minorEastAsia" w:hAnsiTheme="minorEastAsia"/>
                <w:sz w:val="21"/>
                <w:szCs w:val="21"/>
                <w:lang w:eastAsia="zh-TW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难点：模型选择与估计法</w:t>
            </w:r>
            <w:r>
              <w:rPr>
                <w:rFonts w:hint="eastAsia" w:ascii="PMingLiU" w:hAnsi="PMingLiU" w:eastAsia="宋体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实际数据分析操作</w:t>
            </w:r>
          </w:p>
          <w:p>
            <w:pPr>
              <w:rPr>
                <w:rFonts w:asciiTheme="minorEastAsia" w:hAnsiTheme="minorEastAsia"/>
                <w:sz w:val="21"/>
                <w:szCs w:val="21"/>
                <w:lang w:eastAsia="zh-TW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课程思政融入点：以习近平新时代中国特色社会主义经济思想指导金融发展，学习波动率</w:t>
            </w:r>
            <w:r>
              <w:rPr>
                <w:rFonts w:hint="eastAsia" w:ascii="PMingLiU" w:hAnsi="PMingLiU" w:eastAsia="宋体"/>
                <w:sz w:val="21"/>
                <w:szCs w:val="21"/>
                <w:lang w:eastAsia="zh-CN"/>
              </w:rPr>
              <w:t>在金融体系的应用</w:t>
            </w:r>
          </w:p>
        </w:tc>
        <w:tc>
          <w:tcPr>
            <w:tcW w:w="1198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课堂讲授</w:t>
            </w:r>
            <w:r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  <w:t>/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小组讨论</w:t>
            </w:r>
          </w:p>
        </w:tc>
        <w:tc>
          <w:tcPr>
            <w:tcW w:w="1091" w:type="dxa"/>
            <w:tcBorders>
              <w:bottom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作业</w:t>
            </w:r>
            <w:r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  <w:t>2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波动率计算与分析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  <w:lang w:eastAsia="zh-TW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  <w:t>8</w:t>
            </w:r>
          </w:p>
        </w:tc>
        <w:tc>
          <w:tcPr>
            <w:tcW w:w="1729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  <w:lang w:eastAsia="zh-TW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市场风险与模型建构</w:t>
            </w:r>
          </w:p>
        </w:tc>
        <w:tc>
          <w:tcPr>
            <w:tcW w:w="623" w:type="dxa"/>
            <w:tcBorders>
              <w:bottom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4111" w:type="dxa"/>
            <w:gridSpan w:val="4"/>
            <w:tcBorders>
              <w:bottom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重点：以模型建构法计算市场风险</w:t>
            </w:r>
            <w:r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  <w:t>VaR</w:t>
            </w:r>
          </w:p>
          <w:p>
            <w:pPr>
              <w:rPr>
                <w:rFonts w:asciiTheme="minorEastAsia" w:hAnsiTheme="minorEastAsia"/>
                <w:sz w:val="21"/>
                <w:szCs w:val="21"/>
                <w:lang w:eastAsia="zh-TW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难点：期权产品、二次模型</w:t>
            </w:r>
          </w:p>
          <w:p>
            <w:pPr>
              <w:rPr>
                <w:rFonts w:asciiTheme="minorEastAsia" w:hAnsiTheme="minorEastAsia"/>
                <w:sz w:val="21"/>
                <w:szCs w:val="21"/>
                <w:lang w:eastAsia="zh-TW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课程思政融入点：以习近平新时代中国特色社会主义经济思想指导金融发展，应用市场风险建构最佳投资模型</w:t>
            </w:r>
          </w:p>
        </w:tc>
        <w:tc>
          <w:tcPr>
            <w:tcW w:w="1198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课堂讲授</w:t>
            </w:r>
          </w:p>
        </w:tc>
        <w:tc>
          <w:tcPr>
            <w:tcW w:w="1091" w:type="dxa"/>
            <w:tcBorders>
              <w:bottom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  <w:lang w:eastAsia="zh-TW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  <w:t>9</w:t>
            </w:r>
          </w:p>
        </w:tc>
        <w:tc>
          <w:tcPr>
            <w:tcW w:w="1729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期</w:t>
            </w:r>
            <w:r>
              <w:rPr>
                <w:rFonts w:hint="eastAsia" w:ascii="PMingLiU" w:hAnsi="PMingLiU" w:eastAsia="宋体"/>
                <w:sz w:val="21"/>
                <w:szCs w:val="21"/>
                <w:lang w:eastAsia="zh-CN"/>
              </w:rPr>
              <w:t>中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考</w:t>
            </w:r>
          </w:p>
        </w:tc>
        <w:tc>
          <w:tcPr>
            <w:tcW w:w="623" w:type="dxa"/>
            <w:tcBorders>
              <w:bottom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4111" w:type="dxa"/>
            <w:gridSpan w:val="4"/>
            <w:tcBorders>
              <w:bottom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开卷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笔试</w:t>
            </w:r>
          </w:p>
        </w:tc>
        <w:tc>
          <w:tcPr>
            <w:tcW w:w="1198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</w:pPr>
          </w:p>
        </w:tc>
        <w:tc>
          <w:tcPr>
            <w:tcW w:w="1091" w:type="dxa"/>
            <w:tcBorders>
              <w:bottom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  <w:lang w:eastAsia="zh-TW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  <w:t>10</w:t>
            </w:r>
          </w:p>
        </w:tc>
        <w:tc>
          <w:tcPr>
            <w:tcW w:w="1729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  <w:lang w:eastAsia="zh-TW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信用风险与违约概率</w:t>
            </w:r>
          </w:p>
        </w:tc>
        <w:tc>
          <w:tcPr>
            <w:tcW w:w="623" w:type="dxa"/>
            <w:tcBorders>
              <w:bottom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4111" w:type="dxa"/>
            <w:gridSpan w:val="4"/>
            <w:tcBorders>
              <w:bottom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重点：信用评级、违约概率之计算与比较</w:t>
            </w:r>
          </w:p>
          <w:p>
            <w:pPr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难点：违约概率概率估计</w:t>
            </w:r>
          </w:p>
        </w:tc>
        <w:tc>
          <w:tcPr>
            <w:tcW w:w="1198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课堂讲授</w:t>
            </w:r>
            <w:r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  <w:t>/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小组讨论</w:t>
            </w:r>
          </w:p>
        </w:tc>
        <w:tc>
          <w:tcPr>
            <w:tcW w:w="1091" w:type="dxa"/>
            <w:tcBorders>
              <w:bottom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  <w:lang w:eastAsia="zh-TW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  <w:t>11</w:t>
            </w:r>
          </w:p>
        </w:tc>
        <w:tc>
          <w:tcPr>
            <w:tcW w:w="1729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  <w:lang w:eastAsia="zh-TW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信用风险与违约概率</w:t>
            </w:r>
          </w:p>
        </w:tc>
        <w:tc>
          <w:tcPr>
            <w:tcW w:w="623" w:type="dxa"/>
            <w:tcBorders>
              <w:bottom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4111" w:type="dxa"/>
            <w:gridSpan w:val="4"/>
            <w:tcBorders>
              <w:bottom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重点：信用评级、违约概率之计算与比较</w:t>
            </w:r>
          </w:p>
          <w:p>
            <w:pPr>
              <w:rPr>
                <w:rFonts w:asciiTheme="minorEastAsia" w:hAnsiTheme="minorEastAsia"/>
                <w:sz w:val="21"/>
                <w:szCs w:val="21"/>
                <w:lang w:eastAsia="zh-TW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难点：违约概率概率估计</w:t>
            </w:r>
          </w:p>
          <w:p>
            <w:pPr>
              <w:rPr>
                <w:rFonts w:asciiTheme="minorEastAsia" w:hAnsiTheme="minorEastAsia"/>
                <w:sz w:val="21"/>
                <w:szCs w:val="21"/>
                <w:lang w:eastAsia="zh-TW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课程思政融入点：以习近平新时代中国特色社会主义经济思想指导金融发展，学习信用风险与违约概率</w:t>
            </w:r>
            <w:r>
              <w:rPr>
                <w:rFonts w:hint="eastAsia" w:ascii="PMingLiU" w:hAnsi="PMingLiU" w:eastAsia="宋体"/>
                <w:sz w:val="21"/>
                <w:szCs w:val="21"/>
                <w:lang w:eastAsia="zh-CN"/>
              </w:rPr>
              <w:t>的使用</w:t>
            </w:r>
          </w:p>
        </w:tc>
        <w:tc>
          <w:tcPr>
            <w:tcW w:w="1198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  <w:lang w:eastAsia="zh-TW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课堂讲授</w:t>
            </w:r>
            <w:r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  <w:t>/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小组讨论</w:t>
            </w:r>
          </w:p>
        </w:tc>
        <w:tc>
          <w:tcPr>
            <w:tcW w:w="1091" w:type="dxa"/>
            <w:tcBorders>
              <w:bottom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作业</w:t>
            </w:r>
            <w:r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  <w:t>3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违约概率之计算与比较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  <w:lang w:eastAsia="zh-TW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  <w:t>12</w:t>
            </w:r>
          </w:p>
        </w:tc>
        <w:tc>
          <w:tcPr>
            <w:tcW w:w="1729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衍生性产品中的对手信用风险</w:t>
            </w:r>
          </w:p>
        </w:tc>
        <w:tc>
          <w:tcPr>
            <w:tcW w:w="623" w:type="dxa"/>
            <w:tcBorders>
              <w:bottom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4111" w:type="dxa"/>
            <w:gridSpan w:val="4"/>
            <w:tcBorders>
              <w:bottom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重点：衍生性产品信用曝露风险、交易清算、</w:t>
            </w:r>
            <w:r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  <w:t>CVA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风险、</w:t>
            </w:r>
            <w:r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  <w:t>DVA</w:t>
            </w:r>
          </w:p>
          <w:p>
            <w:pPr>
              <w:rPr>
                <w:rFonts w:asciiTheme="minorEastAsia" w:hAnsiTheme="minorEastAsia"/>
                <w:sz w:val="21"/>
                <w:szCs w:val="21"/>
                <w:lang w:eastAsia="zh-TW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难点：</w:t>
            </w:r>
            <w:r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  <w:t>CVA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风险、</w:t>
            </w:r>
            <w:r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  <w:t>DVA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计算</w:t>
            </w:r>
          </w:p>
          <w:p>
            <w:pPr>
              <w:rPr>
                <w:rFonts w:asciiTheme="minorEastAsia" w:hAnsiTheme="minorEastAsia"/>
                <w:sz w:val="21"/>
                <w:szCs w:val="21"/>
                <w:lang w:eastAsia="zh-TW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课程思政融入点：以习近平新时代中国特色社会主义经济思想指导金融发展，学习衍生性产品中的对手信用风险</w:t>
            </w:r>
            <w:r>
              <w:rPr>
                <w:rFonts w:hint="eastAsia" w:ascii="PMingLiU" w:hAnsi="PMingLiU" w:eastAsia="宋体"/>
                <w:sz w:val="21"/>
                <w:szCs w:val="21"/>
                <w:lang w:eastAsia="zh-CN"/>
              </w:rPr>
              <w:t>的使用</w:t>
            </w:r>
          </w:p>
        </w:tc>
        <w:tc>
          <w:tcPr>
            <w:tcW w:w="1198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  <w:lang w:eastAsia="zh-TW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课堂讲授</w:t>
            </w:r>
            <w:r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  <w:t>/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小组讨论</w:t>
            </w:r>
          </w:p>
        </w:tc>
        <w:tc>
          <w:tcPr>
            <w:tcW w:w="1091" w:type="dxa"/>
            <w:tcBorders>
              <w:bottom w:val="single" w:color="auto" w:sz="4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  <w:lang w:eastAsia="zh-TW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  <w:t>13</w:t>
            </w:r>
          </w:p>
        </w:tc>
        <w:tc>
          <w:tcPr>
            <w:tcW w:w="17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衍生性产品中的对手信用风险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41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重点：衍生性产品信用曝露风险、交易清算、</w:t>
            </w:r>
            <w:r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  <w:t>CVA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风险、</w:t>
            </w:r>
            <w:r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  <w:t>DVA</w:t>
            </w:r>
          </w:p>
          <w:p>
            <w:pPr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难点：</w:t>
            </w:r>
            <w:r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  <w:t>CVA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风险、</w:t>
            </w:r>
            <w:r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  <w:t>DVA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计算</w:t>
            </w:r>
          </w:p>
        </w:tc>
        <w:tc>
          <w:tcPr>
            <w:tcW w:w="11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课堂讲授</w:t>
            </w:r>
            <w:r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  <w:t>/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小组讨论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  <w:lang w:eastAsia="zh-TW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  <w:t>14</w:t>
            </w:r>
          </w:p>
        </w:tc>
        <w:tc>
          <w:tcPr>
            <w:tcW w:w="17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  <w:lang w:eastAsia="zh-TW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信用风险价值度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41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  <w:lang w:eastAsia="zh-TW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重点：信用评级迁移矩阵、</w:t>
            </w:r>
            <w:r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  <w:t>Vasicek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模型、</w:t>
            </w:r>
            <w:r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  <w:t>CreditMetrics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、</w:t>
            </w:r>
            <w:r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  <w:t>Credit risk plus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、交易帐户风险价值度</w:t>
            </w:r>
          </w:p>
          <w:p>
            <w:pPr>
              <w:rPr>
                <w:rFonts w:asciiTheme="minorEastAsia" w:hAnsiTheme="minorEastAsia"/>
                <w:sz w:val="21"/>
                <w:szCs w:val="21"/>
                <w:lang w:eastAsia="zh-TW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难点：模型运算、相关性模型</w:t>
            </w:r>
          </w:p>
          <w:p>
            <w:pPr>
              <w:rPr>
                <w:rFonts w:asciiTheme="minorEastAsia" w:hAnsiTheme="minorEastAsia"/>
                <w:sz w:val="21"/>
                <w:szCs w:val="21"/>
                <w:lang w:eastAsia="zh-TW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课程思政融入点：以习近平新时代中国特色社会主义经济思想指导金融发展，学习信用风险价值度</w:t>
            </w:r>
          </w:p>
        </w:tc>
        <w:tc>
          <w:tcPr>
            <w:tcW w:w="11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课堂讲授</w:t>
            </w:r>
            <w:r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  <w:t>/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小组讨论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  <w:lang w:eastAsia="zh-TW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  <w:t>15</w:t>
            </w:r>
          </w:p>
        </w:tc>
        <w:tc>
          <w:tcPr>
            <w:tcW w:w="17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  <w:lang w:eastAsia="zh-TW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相关性与</w:t>
            </w:r>
            <w:r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  <w:t>Copula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函数</w:t>
            </w:r>
            <w:r>
              <w:rPr>
                <w:rFonts w:hint="eastAsia" w:ascii="PMingLiU" w:hAnsi="PMingLiU" w:eastAsia="宋体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操作风险</w:t>
            </w:r>
            <w:r>
              <w:rPr>
                <w:rFonts w:hint="eastAsia" w:ascii="PMingLiU" w:hAnsi="PMingLiU" w:eastAsia="宋体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流动性风险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41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重点：相关系数、多元正态、</w:t>
            </w:r>
            <w:r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  <w:t>Copula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函数</w:t>
            </w:r>
          </w:p>
          <w:p>
            <w:pPr>
              <w:rPr>
                <w:rFonts w:asciiTheme="minorEastAsia" w:hAnsiTheme="minorEastAsia"/>
                <w:sz w:val="21"/>
                <w:szCs w:val="21"/>
                <w:lang w:eastAsia="zh-TW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难点：</w:t>
            </w:r>
            <w:r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  <w:t>Copula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函数运算</w:t>
            </w:r>
            <w:r>
              <w:rPr>
                <w:rFonts w:hint="eastAsia" w:ascii="PMingLiU" w:hAnsi="PMingLiU" w:eastAsia="宋体"/>
                <w:sz w:val="21"/>
                <w:szCs w:val="21"/>
                <w:lang w:eastAsia="zh-CN"/>
              </w:rPr>
              <w:t>。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操作风险分类、主要操作风险指标、</w:t>
            </w:r>
            <w:r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  <w:t>AMA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方法的实践</w:t>
            </w:r>
            <w:r>
              <w:rPr>
                <w:rFonts w:hint="eastAsia" w:ascii="PMingLiU" w:hAnsi="PMingLiU" w:eastAsia="宋体"/>
                <w:sz w:val="21"/>
                <w:szCs w:val="21"/>
                <w:lang w:eastAsia="zh-CN"/>
              </w:rPr>
              <w:t>。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交易流动性风险、融资流动性风险</w:t>
            </w:r>
            <w:r>
              <w:rPr>
                <w:rFonts w:hint="eastAsia" w:ascii="PMingLiU" w:hAnsi="PMingLiU" w:eastAsia="宋体"/>
                <w:sz w:val="21"/>
                <w:szCs w:val="21"/>
                <w:lang w:eastAsia="zh-CN"/>
              </w:rPr>
              <w:t>。</w:t>
            </w:r>
            <w:r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  <w:t>AMA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方法</w:t>
            </w:r>
            <w:r>
              <w:rPr>
                <w:rFonts w:hint="eastAsia" w:ascii="PMingLiU" w:hAnsi="PMingLiU" w:eastAsia="宋体"/>
                <w:sz w:val="21"/>
                <w:szCs w:val="21"/>
                <w:lang w:eastAsia="zh-CN"/>
              </w:rPr>
              <w:t>。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流动性影响风险价值度</w:t>
            </w:r>
          </w:p>
          <w:p>
            <w:pPr>
              <w:rPr>
                <w:rFonts w:asciiTheme="minorEastAsia" w:hAnsiTheme="minorEastAsia"/>
                <w:sz w:val="21"/>
                <w:szCs w:val="21"/>
                <w:lang w:eastAsia="zh-TW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课程思政融入点：以习近平新时代中国特色社会主义经济思想指导金融发展，学习信用风险价值度</w:t>
            </w:r>
            <w:r>
              <w:rPr>
                <w:rFonts w:hint="eastAsia" w:ascii="PMingLiU" w:hAnsi="PMingLiU" w:eastAsia="宋体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操作风险</w:t>
            </w:r>
            <w:r>
              <w:rPr>
                <w:rFonts w:hint="eastAsia" w:ascii="PMingLiU" w:hAnsi="PMingLiU" w:eastAsia="宋体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流动性风险</w:t>
            </w:r>
          </w:p>
        </w:tc>
        <w:tc>
          <w:tcPr>
            <w:tcW w:w="11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课堂讲授</w:t>
            </w:r>
            <w:r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  <w:t>/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小组讨论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  <w:lang w:eastAsia="zh-TW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  <w:t>1</w:t>
            </w:r>
            <w:r>
              <w:rPr>
                <w:rFonts w:eastAsia="宋体" w:asciiTheme="minorEastAsia" w:hAnsiTheme="minorEastAsia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17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期末考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41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开卷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笔试</w:t>
            </w:r>
          </w:p>
        </w:tc>
        <w:tc>
          <w:tcPr>
            <w:tcW w:w="11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378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after="0" w:line="0" w:lineRule="atLeast"/>
              <w:jc w:val="righ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合计：</w:t>
            </w:r>
          </w:p>
        </w:tc>
        <w:tc>
          <w:tcPr>
            <w:tcW w:w="623" w:type="dxa"/>
            <w:tcBorders>
              <w:top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Theme="minorEastAsia" w:hAnsiTheme="minorEastAsia"/>
                <w:sz w:val="21"/>
                <w:szCs w:val="21"/>
                <w:lang w:eastAsia="zh-TW"/>
              </w:rPr>
            </w:pPr>
            <w:r>
              <w:rPr>
                <w:rFonts w:eastAsia="宋体" w:asciiTheme="minorEastAsia" w:hAnsiTheme="minorEastAsia"/>
                <w:sz w:val="21"/>
                <w:szCs w:val="21"/>
                <w:lang w:eastAsia="zh-CN"/>
              </w:rPr>
              <w:t>48</w:t>
            </w:r>
          </w:p>
        </w:tc>
        <w:tc>
          <w:tcPr>
            <w:tcW w:w="4111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9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091" w:type="dxa"/>
            <w:tcBorders>
              <w:top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11"/>
            <w:shd w:val="clear" w:color="auto" w:fill="C0C0C0"/>
            <w:vAlign w:val="center"/>
          </w:tcPr>
          <w:p>
            <w:pPr>
              <w:tabs>
                <w:tab w:val="left" w:pos="1440"/>
              </w:tabs>
              <w:spacing w:after="0" w:line="0" w:lineRule="atLeast"/>
              <w:jc w:val="center"/>
              <w:outlineLvl w:val="0"/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实践教学进程表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9" w:type="dxa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0" w:lineRule="atLeas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1729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0" w:lineRule="atLeas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实验项目名称</w:t>
            </w:r>
          </w:p>
        </w:tc>
        <w:tc>
          <w:tcPr>
            <w:tcW w:w="623" w:type="dxa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0" w:lineRule="atLeas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学时</w:t>
            </w:r>
          </w:p>
        </w:tc>
        <w:tc>
          <w:tcPr>
            <w:tcW w:w="3260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0" w:lineRule="atLeas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重点与难点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0" w:lineRule="atLeast"/>
              <w:jc w:val="center"/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项目类型（验证</w:t>
            </w:r>
            <w:r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  <w:t>/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综合</w:t>
            </w:r>
            <w:r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  <w:t>/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设计）</w:t>
            </w:r>
          </w:p>
        </w:tc>
        <w:tc>
          <w:tcPr>
            <w:tcW w:w="119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0" w:lineRule="atLeas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教学</w:t>
            </w:r>
          </w:p>
          <w:p>
            <w:pPr>
              <w:spacing w:after="0" w:line="0" w:lineRule="atLeas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方式</w:t>
            </w:r>
          </w:p>
        </w:tc>
        <w:tc>
          <w:tcPr>
            <w:tcW w:w="1091" w:type="dxa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0" w:lineRule="atLeas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作业安排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  <w:lang w:eastAsia="zh-TW"/>
              </w:rPr>
            </w:pPr>
            <w:r>
              <w:rPr>
                <w:rFonts w:eastAsia="宋体" w:asciiTheme="minorEastAsia" w:hAnsiTheme="minorEastAsia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1729" w:type="dxa"/>
            <w:gridSpan w:val="2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如何管理风险暴露</w:t>
            </w:r>
          </w:p>
        </w:tc>
        <w:tc>
          <w:tcPr>
            <w:tcW w:w="62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260" w:type="dxa"/>
            <w:gridSpan w:val="3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重点：计算常用风险衡量指标，</w:t>
            </w:r>
            <w:r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  <w:t xml:space="preserve"> Delta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、</w:t>
            </w:r>
            <w:r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  <w:t>Gamma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、</w:t>
            </w:r>
            <w:r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  <w:t>Vega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、</w:t>
            </w:r>
            <w:r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  <w:t>Theta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、</w:t>
            </w:r>
            <w:r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  <w:t>Rho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、</w:t>
            </w:r>
            <w:r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  <w:t>Greek letters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等</w:t>
            </w:r>
          </w:p>
          <w:p>
            <w:pPr>
              <w:rPr>
                <w:rFonts w:asciiTheme="minorEastAsia" w:hAnsiTheme="minorEastAsia"/>
                <w:sz w:val="21"/>
                <w:szCs w:val="21"/>
                <w:lang w:eastAsia="zh-TW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难点：指标使用时机与分析、</w:t>
            </w:r>
            <w:r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  <w:t>Greek letters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的计算与应用</w:t>
            </w:r>
          </w:p>
          <w:p>
            <w:pPr>
              <w:rPr>
                <w:rFonts w:asciiTheme="minorEastAsia" w:hAnsiTheme="minorEastAsia"/>
                <w:sz w:val="21"/>
                <w:szCs w:val="21"/>
                <w:lang w:eastAsia="zh-TW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课程思政融入点：以习近平新时代中国特色社会主义经济思想指导金融发展，学习</w:t>
            </w:r>
            <w:r>
              <w:rPr>
                <w:rFonts w:hint="eastAsia" w:ascii="PMingLiU" w:hAnsi="PMingLiU" w:eastAsia="宋体"/>
                <w:sz w:val="21"/>
                <w:szCs w:val="21"/>
                <w:lang w:eastAsia="zh-CN"/>
              </w:rPr>
              <w:t>各种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风险暴露</w:t>
            </w:r>
          </w:p>
        </w:tc>
        <w:tc>
          <w:tcPr>
            <w:tcW w:w="851" w:type="dxa"/>
            <w:vAlign w:val="center"/>
          </w:tcPr>
          <w:p>
            <w:pPr>
              <w:spacing w:after="0" w:line="0" w:lineRule="atLeast"/>
              <w:rPr>
                <w:rFonts w:asciiTheme="minorEastAsia" w:hAnsiTheme="minorEastAsia" w:eastAsiaTheme="minorEastAsia"/>
                <w:sz w:val="21"/>
                <w:szCs w:val="21"/>
                <w:lang w:eastAsia="zh-TW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综合</w:t>
            </w:r>
          </w:p>
        </w:tc>
        <w:tc>
          <w:tcPr>
            <w:tcW w:w="1198" w:type="dxa"/>
            <w:gridSpan w:val="2"/>
          </w:tcPr>
          <w:p>
            <w:pPr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课堂讲授</w:t>
            </w:r>
            <w:r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  <w:t>/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小组讨论</w:t>
            </w:r>
          </w:p>
        </w:tc>
        <w:tc>
          <w:tcPr>
            <w:tcW w:w="1091" w:type="dxa"/>
            <w:vAlign w:val="center"/>
          </w:tcPr>
          <w:p>
            <w:pPr>
              <w:spacing w:after="0" w:line="0" w:lineRule="atLeast"/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  <w:lang w:eastAsia="zh-TW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1729" w:type="dxa"/>
            <w:gridSpan w:val="2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风险价值度</w:t>
            </w:r>
          </w:p>
        </w:tc>
        <w:tc>
          <w:tcPr>
            <w:tcW w:w="62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260" w:type="dxa"/>
            <w:gridSpan w:val="3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重点：介绍常用风险衡量指标，如</w:t>
            </w:r>
            <w:r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  <w:t>Delta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、</w:t>
            </w:r>
            <w:r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  <w:t>Gamma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、</w:t>
            </w:r>
            <w:r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  <w:t>Vega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、</w:t>
            </w:r>
            <w:r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  <w:t>Theta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、</w:t>
            </w:r>
            <w:r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  <w:t>Rho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、</w:t>
            </w:r>
            <w:r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  <w:t>Greek letters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等</w:t>
            </w:r>
          </w:p>
          <w:p>
            <w:pPr>
              <w:rPr>
                <w:rFonts w:asciiTheme="minorEastAsia" w:hAnsiTheme="minorEastAsia"/>
                <w:sz w:val="21"/>
                <w:szCs w:val="21"/>
                <w:lang w:eastAsia="zh-TW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难点：指标使用时机与分析、</w:t>
            </w:r>
            <w:r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  <w:t>Greek letters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的计算与应用</w:t>
            </w:r>
          </w:p>
          <w:p>
            <w:pPr>
              <w:rPr>
                <w:rFonts w:asciiTheme="minorEastAsia" w:hAnsiTheme="minorEastAsia"/>
                <w:sz w:val="21"/>
                <w:szCs w:val="21"/>
                <w:lang w:eastAsia="zh-TW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课程思政融入点：以习近平新时代中国特色社会主义经济思想指导金融发展，学习风险价值度</w:t>
            </w:r>
            <w:r>
              <w:rPr>
                <w:rFonts w:hint="eastAsia" w:ascii="PMingLiU" w:hAnsi="PMingLiU" w:eastAsia="宋体"/>
                <w:sz w:val="21"/>
                <w:szCs w:val="21"/>
                <w:lang w:eastAsia="zh-CN"/>
              </w:rPr>
              <w:t>在金融体系的应用</w:t>
            </w:r>
          </w:p>
        </w:tc>
        <w:tc>
          <w:tcPr>
            <w:tcW w:w="851" w:type="dxa"/>
            <w:vAlign w:val="center"/>
          </w:tcPr>
          <w:p>
            <w:pPr>
              <w:spacing w:after="0" w:line="0" w:lineRule="atLeast"/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综合</w:t>
            </w:r>
          </w:p>
        </w:tc>
        <w:tc>
          <w:tcPr>
            <w:tcW w:w="1198" w:type="dxa"/>
            <w:gridSpan w:val="2"/>
          </w:tcPr>
          <w:p>
            <w:pPr>
              <w:jc w:val="left"/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课堂讲授</w:t>
            </w:r>
            <w:r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  <w:t>/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小组讨论</w:t>
            </w:r>
          </w:p>
        </w:tc>
        <w:tc>
          <w:tcPr>
            <w:tcW w:w="1091" w:type="dxa"/>
            <w:vAlign w:val="center"/>
          </w:tcPr>
          <w:p>
            <w:pPr>
              <w:spacing w:after="0" w:line="0" w:lineRule="atLeast"/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作业</w:t>
            </w:r>
            <w:r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  <w:t>1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风险价值度计算与分析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  <w:lang w:eastAsia="zh-TW"/>
              </w:rPr>
            </w:pPr>
            <w:r>
              <w:rPr>
                <w:rFonts w:eastAsia="宋体" w:asciiTheme="minorEastAsia" w:hAnsiTheme="minorEastAsia"/>
                <w:sz w:val="21"/>
                <w:szCs w:val="21"/>
                <w:lang w:eastAsia="zh-CN"/>
              </w:rPr>
              <w:t>7</w:t>
            </w:r>
          </w:p>
        </w:tc>
        <w:tc>
          <w:tcPr>
            <w:tcW w:w="1729" w:type="dxa"/>
            <w:gridSpan w:val="2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波动率</w:t>
            </w:r>
          </w:p>
        </w:tc>
        <w:tc>
          <w:tcPr>
            <w:tcW w:w="62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260" w:type="dxa"/>
            <w:gridSpan w:val="3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重点：波动率与隐含波动率、模型选择与估计法</w:t>
            </w:r>
            <w:r>
              <w:rPr>
                <w:rFonts w:hint="eastAsia" w:ascii="PMingLiU" w:hAnsi="PMingLiU" w:eastAsia="宋体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波动率之估计与限制</w:t>
            </w:r>
          </w:p>
          <w:p>
            <w:pPr>
              <w:rPr>
                <w:rFonts w:asciiTheme="minorEastAsia" w:hAnsiTheme="minorEastAsia"/>
                <w:sz w:val="21"/>
                <w:szCs w:val="21"/>
                <w:lang w:eastAsia="zh-TW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难点：模型选择与估计法</w:t>
            </w:r>
            <w:r>
              <w:rPr>
                <w:rFonts w:hint="eastAsia" w:ascii="PMingLiU" w:hAnsi="PMingLiU" w:eastAsia="宋体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实际数据分析操作</w:t>
            </w:r>
          </w:p>
          <w:p>
            <w:pPr>
              <w:rPr>
                <w:rFonts w:asciiTheme="minorEastAsia" w:hAnsiTheme="minorEastAsia"/>
                <w:sz w:val="21"/>
                <w:szCs w:val="21"/>
                <w:lang w:eastAsia="zh-TW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课程思政融入点：以习近平新时代中国特色社会主义经济思想指导金融发展，学习波动率</w:t>
            </w:r>
            <w:r>
              <w:rPr>
                <w:rFonts w:hint="eastAsia" w:ascii="PMingLiU" w:hAnsi="PMingLiU" w:eastAsia="宋体"/>
                <w:sz w:val="21"/>
                <w:szCs w:val="21"/>
                <w:lang w:eastAsia="zh-CN"/>
              </w:rPr>
              <w:t>在金融体系的应用</w:t>
            </w:r>
          </w:p>
        </w:tc>
        <w:tc>
          <w:tcPr>
            <w:tcW w:w="851" w:type="dxa"/>
            <w:vAlign w:val="center"/>
          </w:tcPr>
          <w:p>
            <w:pPr>
              <w:spacing w:after="0" w:line="0" w:lineRule="atLeast"/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综合</w:t>
            </w:r>
          </w:p>
        </w:tc>
        <w:tc>
          <w:tcPr>
            <w:tcW w:w="1198" w:type="dxa"/>
            <w:gridSpan w:val="2"/>
          </w:tcPr>
          <w:p>
            <w:pPr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课堂讲授</w:t>
            </w:r>
            <w:r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  <w:t>/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小组讨论</w:t>
            </w:r>
          </w:p>
        </w:tc>
        <w:tc>
          <w:tcPr>
            <w:tcW w:w="1091" w:type="dxa"/>
            <w:vAlign w:val="center"/>
          </w:tcPr>
          <w:p>
            <w:pPr>
              <w:spacing w:after="0" w:line="0" w:lineRule="atLeast"/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作业</w:t>
            </w:r>
            <w:r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  <w:t>2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波动率计算与分析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  <w:lang w:eastAsia="zh-TW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  <w:t>11</w:t>
            </w:r>
          </w:p>
        </w:tc>
        <w:tc>
          <w:tcPr>
            <w:tcW w:w="1729" w:type="dxa"/>
            <w:gridSpan w:val="2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  <w:lang w:eastAsia="zh-TW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信用风险与违约概率</w:t>
            </w:r>
          </w:p>
        </w:tc>
        <w:tc>
          <w:tcPr>
            <w:tcW w:w="62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260" w:type="dxa"/>
            <w:gridSpan w:val="3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重点：信用评级、违约概率之计算与比较</w:t>
            </w:r>
          </w:p>
          <w:p>
            <w:pPr>
              <w:rPr>
                <w:rFonts w:asciiTheme="minorEastAsia" w:hAnsiTheme="minorEastAsia"/>
                <w:sz w:val="21"/>
                <w:szCs w:val="21"/>
                <w:lang w:eastAsia="zh-TW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难点：违约概率概率估计</w:t>
            </w:r>
          </w:p>
          <w:p>
            <w:pPr>
              <w:rPr>
                <w:rFonts w:asciiTheme="minorEastAsia" w:hAnsiTheme="minorEastAsia"/>
                <w:sz w:val="21"/>
                <w:szCs w:val="21"/>
                <w:lang w:eastAsia="zh-TW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课程思政融入点：以习近平新时代中国特色社会主义经济思想指导金融发展，学习信用风险与违约概率</w:t>
            </w:r>
            <w:r>
              <w:rPr>
                <w:rFonts w:hint="eastAsia" w:ascii="PMingLiU" w:hAnsi="PMingLiU" w:eastAsia="宋体"/>
                <w:sz w:val="21"/>
                <w:szCs w:val="21"/>
                <w:lang w:eastAsia="zh-CN"/>
              </w:rPr>
              <w:t>的使用</w:t>
            </w:r>
          </w:p>
        </w:tc>
        <w:tc>
          <w:tcPr>
            <w:tcW w:w="851" w:type="dxa"/>
            <w:vAlign w:val="center"/>
          </w:tcPr>
          <w:p>
            <w:pPr>
              <w:spacing w:after="0" w:line="0" w:lineRule="atLeast"/>
              <w:rPr>
                <w:rFonts w:asciiTheme="minorEastAsia" w:hAnsiTheme="minorEastAsia" w:eastAsiaTheme="minorEastAsia"/>
                <w:sz w:val="21"/>
                <w:szCs w:val="21"/>
                <w:lang w:eastAsia="zh-TW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综合</w:t>
            </w:r>
          </w:p>
        </w:tc>
        <w:tc>
          <w:tcPr>
            <w:tcW w:w="1198" w:type="dxa"/>
            <w:gridSpan w:val="2"/>
          </w:tcPr>
          <w:p>
            <w:pPr>
              <w:jc w:val="left"/>
              <w:rPr>
                <w:rFonts w:asciiTheme="minorEastAsia" w:hAnsiTheme="minorEastAsia" w:eastAsiaTheme="minorEastAsia"/>
                <w:sz w:val="21"/>
                <w:szCs w:val="21"/>
                <w:lang w:eastAsia="zh-TW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课堂讲授</w:t>
            </w:r>
            <w:r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  <w:t>/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小组讨论</w:t>
            </w:r>
          </w:p>
        </w:tc>
        <w:tc>
          <w:tcPr>
            <w:tcW w:w="1091" w:type="dxa"/>
            <w:vAlign w:val="center"/>
          </w:tcPr>
          <w:p>
            <w:pPr>
              <w:spacing w:after="0" w:line="0" w:lineRule="atLeast"/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作业</w:t>
            </w:r>
            <w:r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  <w:t>3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违约概率之计算与比较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  <w:lang w:eastAsia="zh-TW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  <w:t>14</w:t>
            </w:r>
          </w:p>
        </w:tc>
        <w:tc>
          <w:tcPr>
            <w:tcW w:w="1729" w:type="dxa"/>
            <w:gridSpan w:val="2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  <w:lang w:eastAsia="zh-TW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信用风险价值度</w:t>
            </w:r>
          </w:p>
        </w:tc>
        <w:tc>
          <w:tcPr>
            <w:tcW w:w="62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  <w:lang w:eastAsia="zh-TW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260" w:type="dxa"/>
            <w:gridSpan w:val="3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  <w:lang w:eastAsia="zh-TW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重点：信用评级迁移矩阵、</w:t>
            </w:r>
            <w:r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  <w:t>Vasicek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模型、</w:t>
            </w:r>
            <w:r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  <w:t>CreditMetrics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、</w:t>
            </w:r>
            <w:r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  <w:t>Credit risk plus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、交易帐户风险价值度</w:t>
            </w:r>
          </w:p>
          <w:p>
            <w:pPr>
              <w:rPr>
                <w:rFonts w:asciiTheme="minorEastAsia" w:hAnsiTheme="minorEastAsia"/>
                <w:sz w:val="21"/>
                <w:szCs w:val="21"/>
                <w:lang w:eastAsia="zh-TW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难点：模型运算、相关性模型</w:t>
            </w:r>
          </w:p>
          <w:p>
            <w:pPr>
              <w:rPr>
                <w:rFonts w:asciiTheme="minorEastAsia" w:hAnsiTheme="minorEastAsia"/>
                <w:sz w:val="21"/>
                <w:szCs w:val="21"/>
                <w:lang w:eastAsia="zh-TW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课程思政融入点：以习近平新时代中国特色社会主义经济思想指导金融发展，学习信用风险价值度</w:t>
            </w:r>
          </w:p>
        </w:tc>
        <w:tc>
          <w:tcPr>
            <w:tcW w:w="851" w:type="dxa"/>
            <w:vAlign w:val="center"/>
          </w:tcPr>
          <w:p>
            <w:pPr>
              <w:spacing w:after="0" w:line="0" w:lineRule="atLeast"/>
              <w:rPr>
                <w:rFonts w:asciiTheme="minorEastAsia" w:hAnsiTheme="minorEastAsia" w:eastAsiaTheme="minorEastAsia"/>
                <w:sz w:val="21"/>
                <w:szCs w:val="21"/>
                <w:lang w:eastAsia="zh-TW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综合</w:t>
            </w:r>
          </w:p>
        </w:tc>
        <w:tc>
          <w:tcPr>
            <w:tcW w:w="1198" w:type="dxa"/>
            <w:gridSpan w:val="2"/>
          </w:tcPr>
          <w:p>
            <w:pPr>
              <w:jc w:val="left"/>
              <w:rPr>
                <w:rFonts w:asciiTheme="minorEastAsia" w:hAnsiTheme="minorEastAsia" w:eastAsiaTheme="minorEastAsia"/>
                <w:sz w:val="21"/>
                <w:szCs w:val="21"/>
                <w:lang w:eastAsia="zh-TW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课堂讲授</w:t>
            </w:r>
            <w:r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  <w:t>/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小组讨论</w:t>
            </w:r>
          </w:p>
        </w:tc>
        <w:tc>
          <w:tcPr>
            <w:tcW w:w="1091" w:type="dxa"/>
            <w:vAlign w:val="center"/>
          </w:tcPr>
          <w:p>
            <w:pPr>
              <w:spacing w:after="0" w:line="0" w:lineRule="atLeast"/>
              <w:rPr>
                <w:rFonts w:asciiTheme="minorEastAsia" w:hAnsiTheme="minorEastAsia" w:eastAsiaTheme="minorEastAsia"/>
                <w:sz w:val="21"/>
                <w:szCs w:val="21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  <w:lang w:eastAsia="zh-TW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  <w:t>1</w:t>
            </w:r>
            <w:r>
              <w:rPr>
                <w:rFonts w:eastAsia="宋体" w:asciiTheme="minorEastAsia" w:hAnsiTheme="minorEastAsia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1729" w:type="dxa"/>
            <w:gridSpan w:val="2"/>
          </w:tcPr>
          <w:p>
            <w:pPr>
              <w:rPr>
                <w:rFonts w:asciiTheme="minorEastAsia" w:hAnsiTheme="minorEastAsia"/>
                <w:sz w:val="21"/>
                <w:szCs w:val="21"/>
                <w:lang w:eastAsia="zh-TW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流动性风险</w:t>
            </w:r>
          </w:p>
        </w:tc>
        <w:tc>
          <w:tcPr>
            <w:tcW w:w="62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  <w:lang w:eastAsia="zh-TW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260" w:type="dxa"/>
            <w:gridSpan w:val="3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重点：交易流动性风险、融资流动性风险</w:t>
            </w:r>
          </w:p>
          <w:p>
            <w:pPr>
              <w:rPr>
                <w:rFonts w:asciiTheme="minorEastAsia" w:hAnsiTheme="minorEastAsia"/>
                <w:sz w:val="21"/>
                <w:szCs w:val="21"/>
                <w:lang w:eastAsia="zh-TW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难点：流动性影响风险价值度</w:t>
            </w:r>
          </w:p>
          <w:p>
            <w:pPr>
              <w:rPr>
                <w:rFonts w:asciiTheme="minorEastAsia" w:hAnsiTheme="minorEastAsia"/>
                <w:sz w:val="21"/>
                <w:szCs w:val="21"/>
                <w:lang w:eastAsia="zh-TW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课程思政融入点：以习近平新时代中国特色社会主义经济思想指导金融发展，学习流动性风险</w:t>
            </w:r>
          </w:p>
        </w:tc>
        <w:tc>
          <w:tcPr>
            <w:tcW w:w="851" w:type="dxa"/>
            <w:vAlign w:val="center"/>
          </w:tcPr>
          <w:p>
            <w:pPr>
              <w:spacing w:after="0" w:line="0" w:lineRule="atLeast"/>
              <w:rPr>
                <w:rFonts w:asciiTheme="minorEastAsia" w:hAnsiTheme="minorEastAsia" w:eastAsiaTheme="minorEastAsia"/>
                <w:sz w:val="21"/>
                <w:szCs w:val="21"/>
                <w:lang w:eastAsia="zh-TW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综合</w:t>
            </w:r>
          </w:p>
        </w:tc>
        <w:tc>
          <w:tcPr>
            <w:tcW w:w="1198" w:type="dxa"/>
            <w:gridSpan w:val="2"/>
          </w:tcPr>
          <w:p>
            <w:pPr>
              <w:jc w:val="left"/>
              <w:rPr>
                <w:rFonts w:asciiTheme="minorEastAsia" w:hAnsiTheme="minorEastAsia" w:eastAsiaTheme="minorEastAsia"/>
                <w:sz w:val="21"/>
                <w:szCs w:val="21"/>
                <w:lang w:eastAsia="zh-TW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课堂讲授</w:t>
            </w:r>
            <w:r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  <w:t>/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小组讨论</w:t>
            </w:r>
          </w:p>
        </w:tc>
        <w:tc>
          <w:tcPr>
            <w:tcW w:w="1091" w:type="dxa"/>
            <w:vAlign w:val="center"/>
          </w:tcPr>
          <w:p>
            <w:pPr>
              <w:spacing w:after="0" w:line="0" w:lineRule="atLeast"/>
              <w:rPr>
                <w:rFonts w:asciiTheme="minorEastAsia" w:hAnsiTheme="minorEastAsia" w:eastAsiaTheme="minorEastAsia"/>
                <w:sz w:val="21"/>
                <w:szCs w:val="21"/>
                <w:lang w:eastAsia="zh-TW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作业</w:t>
            </w:r>
            <w:r>
              <w:rPr>
                <w:rFonts w:eastAsia="宋体" w:asciiTheme="minorEastAsia" w:hAnsiTheme="minorEastAsia"/>
                <w:sz w:val="21"/>
                <w:szCs w:val="21"/>
                <w:lang w:eastAsia="zh-CN"/>
              </w:rPr>
              <w:t>4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流动性风险</w:t>
            </w:r>
            <w:r>
              <w:rPr>
                <w:rFonts w:hint="eastAsia" w:eastAsia="宋体" w:asciiTheme="minorEastAsia" w:hAnsiTheme="minorEastAsia"/>
                <w:sz w:val="21"/>
                <w:szCs w:val="21"/>
                <w:lang w:eastAsia="zh-CN"/>
              </w:rPr>
              <w:t>的</w:t>
            </w:r>
            <w:r>
              <w:rPr>
                <w:rFonts w:eastAsia="宋体" w:asciiTheme="minorEastAsia" w:hAnsiTheme="minorEastAsia"/>
                <w:sz w:val="21"/>
                <w:szCs w:val="21"/>
                <w:lang w:eastAsia="zh-CN"/>
              </w:rPr>
              <w:t>计算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与比较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378" w:type="dxa"/>
            <w:gridSpan w:val="3"/>
            <w:vAlign w:val="center"/>
          </w:tcPr>
          <w:p>
            <w:pPr>
              <w:spacing w:after="0" w:line="0" w:lineRule="atLeast"/>
              <w:jc w:val="righ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合计：</w:t>
            </w:r>
          </w:p>
        </w:tc>
        <w:tc>
          <w:tcPr>
            <w:tcW w:w="623" w:type="dxa"/>
            <w:vAlign w:val="center"/>
          </w:tcPr>
          <w:p>
            <w:pPr>
              <w:spacing w:after="0" w:line="0" w:lineRule="atLeast"/>
              <w:jc w:val="center"/>
              <w:rPr>
                <w:rFonts w:asciiTheme="minorEastAsia" w:hAnsiTheme="minorEastAsia" w:eastAsiaTheme="minorEastAsia"/>
                <w:sz w:val="21"/>
                <w:szCs w:val="21"/>
                <w:lang w:eastAsia="zh-TW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  <w:t>18</w:t>
            </w:r>
          </w:p>
        </w:tc>
        <w:tc>
          <w:tcPr>
            <w:tcW w:w="3260" w:type="dxa"/>
            <w:gridSpan w:val="3"/>
            <w:vAlign w:val="center"/>
          </w:tcPr>
          <w:p>
            <w:pPr>
              <w:spacing w:after="0" w:line="0" w:lineRule="atLeas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after="0" w:line="0" w:lineRule="atLeas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98" w:type="dxa"/>
            <w:gridSpan w:val="2"/>
            <w:vAlign w:val="center"/>
          </w:tcPr>
          <w:p>
            <w:pPr>
              <w:spacing w:after="0" w:line="0" w:lineRule="atLeas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091" w:type="dxa"/>
            <w:vAlign w:val="center"/>
          </w:tcPr>
          <w:p>
            <w:pPr>
              <w:spacing w:after="0" w:line="0" w:lineRule="atLeas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11"/>
            <w:shd w:val="clear" w:color="auto" w:fill="C0C0C0"/>
            <w:vAlign w:val="center"/>
          </w:tcPr>
          <w:p>
            <w:pPr>
              <w:tabs>
                <w:tab w:val="left" w:pos="1440"/>
              </w:tabs>
              <w:spacing w:after="0" w:line="0" w:lineRule="atLeast"/>
              <w:jc w:val="center"/>
              <w:outlineLvl w:val="0"/>
              <w:rPr>
                <w:rFonts w:eastAsiaTheme="minorEastAsia"/>
                <w:szCs w:val="21"/>
                <w:lang w:eastAsia="zh-CN"/>
              </w:rPr>
            </w:pPr>
            <w:r>
              <w:rPr>
                <w:rFonts w:hint="eastAsia" w:eastAsiaTheme="minorEastAsia"/>
                <w:szCs w:val="21"/>
                <w:lang w:eastAsia="zh-CN"/>
              </w:rPr>
              <w:t>成绩评定方法及标准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09" w:type="dxa"/>
            <w:gridSpan w:val="2"/>
            <w:vAlign w:val="center"/>
          </w:tcPr>
          <w:p>
            <w:pPr>
              <w:snapToGrid w:val="0"/>
              <w:spacing w:after="0" w:line="0" w:lineRule="atLeas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考核内容</w:t>
            </w:r>
          </w:p>
        </w:tc>
        <w:tc>
          <w:tcPr>
            <w:tcW w:w="5811" w:type="dxa"/>
            <w:gridSpan w:val="7"/>
            <w:vAlign w:val="center"/>
          </w:tcPr>
          <w:p>
            <w:pPr>
              <w:snapToGrid w:val="0"/>
              <w:spacing w:after="0" w:line="0" w:lineRule="atLeast"/>
              <w:ind w:left="180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评价标准</w:t>
            </w:r>
          </w:p>
        </w:tc>
        <w:tc>
          <w:tcPr>
            <w:tcW w:w="1581" w:type="dxa"/>
            <w:gridSpan w:val="2"/>
            <w:vAlign w:val="center"/>
          </w:tcPr>
          <w:p>
            <w:pPr>
              <w:snapToGrid w:val="0"/>
              <w:spacing w:after="0" w:line="0" w:lineRule="atLeast"/>
              <w:ind w:left="180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权重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09" w:type="dxa"/>
            <w:gridSpan w:val="2"/>
            <w:vAlign w:val="center"/>
          </w:tcPr>
          <w:p>
            <w:pPr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到堂情况</w:t>
            </w:r>
          </w:p>
        </w:tc>
        <w:tc>
          <w:tcPr>
            <w:tcW w:w="5811" w:type="dxa"/>
            <w:gridSpan w:val="7"/>
            <w:vAlign w:val="center"/>
          </w:tcPr>
          <w:p>
            <w:pPr>
              <w:snapToGrid w:val="0"/>
              <w:rPr>
                <w:rFonts w:ascii="宋体" w:hAnsi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不迟到、不早退、不旷课</w:t>
            </w:r>
          </w:p>
        </w:tc>
        <w:tc>
          <w:tcPr>
            <w:tcW w:w="1581" w:type="dxa"/>
            <w:gridSpan w:val="2"/>
            <w:vAlign w:val="center"/>
          </w:tcPr>
          <w:p>
            <w:pPr>
              <w:snapToGrid w:val="0"/>
              <w:ind w:left="180"/>
              <w:jc w:val="center"/>
              <w:rPr>
                <w:rFonts w:ascii="宋体" w:hAnsi="宋体"/>
                <w:sz w:val="18"/>
                <w:szCs w:val="18"/>
                <w:lang w:eastAsia="zh-TW"/>
              </w:rPr>
            </w:pPr>
            <w:r>
              <w:rPr>
                <w:rFonts w:ascii="宋体" w:hAnsi="宋体" w:eastAsia="宋体"/>
                <w:sz w:val="18"/>
                <w:szCs w:val="18"/>
                <w:lang w:eastAsia="zh-CN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09" w:type="dxa"/>
            <w:gridSpan w:val="2"/>
            <w:vAlign w:val="center"/>
          </w:tcPr>
          <w:p>
            <w:pPr>
              <w:snapToGrid w:val="0"/>
              <w:rPr>
                <w:rFonts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平时作业</w:t>
            </w:r>
          </w:p>
        </w:tc>
        <w:tc>
          <w:tcPr>
            <w:tcW w:w="5811" w:type="dxa"/>
            <w:gridSpan w:val="7"/>
            <w:vAlign w:val="center"/>
          </w:tcPr>
          <w:p>
            <w:pPr>
              <w:snapToGrid w:val="0"/>
              <w:rPr>
                <w:rFonts w:ascii="宋体" w:hAnsi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根据评分标准评定分数</w:t>
            </w:r>
          </w:p>
        </w:tc>
        <w:tc>
          <w:tcPr>
            <w:tcW w:w="1581" w:type="dxa"/>
            <w:gridSpan w:val="2"/>
            <w:vAlign w:val="center"/>
          </w:tcPr>
          <w:p>
            <w:pPr>
              <w:snapToGrid w:val="0"/>
              <w:ind w:left="180"/>
              <w:jc w:val="center"/>
              <w:rPr>
                <w:rFonts w:ascii="宋体" w:hAnsi="宋体"/>
                <w:sz w:val="18"/>
                <w:szCs w:val="18"/>
                <w:lang w:eastAsia="zh-TW"/>
              </w:rPr>
            </w:pPr>
            <w:r>
              <w:rPr>
                <w:rFonts w:ascii="宋体" w:hAnsi="宋体" w:eastAsia="宋体"/>
                <w:sz w:val="18"/>
                <w:szCs w:val="18"/>
                <w:lang w:eastAsia="zh-CN"/>
              </w:rPr>
              <w:t>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09" w:type="dxa"/>
            <w:gridSpan w:val="2"/>
            <w:vAlign w:val="center"/>
          </w:tcPr>
          <w:p>
            <w:pPr>
              <w:snapToGrid w:val="0"/>
              <w:rPr>
                <w:rFonts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期中考试</w:t>
            </w:r>
            <w:r>
              <w:rPr>
                <w:rFonts w:ascii="宋体" w:hAnsi="宋体" w:eastAsia="宋体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开卷</w:t>
            </w:r>
            <w:r>
              <w:rPr>
                <w:rFonts w:ascii="宋体" w:hAnsi="宋体" w:eastAsia="宋体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5811" w:type="dxa"/>
            <w:gridSpan w:val="7"/>
          </w:tcPr>
          <w:p>
            <w:pPr>
              <w:snapToGrid w:val="0"/>
              <w:jc w:val="left"/>
              <w:rPr>
                <w:rFonts w:ascii="宋体" w:hAnsi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根据评分标准评定分数</w:t>
            </w:r>
          </w:p>
        </w:tc>
        <w:tc>
          <w:tcPr>
            <w:tcW w:w="1581" w:type="dxa"/>
            <w:gridSpan w:val="2"/>
            <w:vAlign w:val="center"/>
          </w:tcPr>
          <w:p>
            <w:pPr>
              <w:snapToGrid w:val="0"/>
              <w:ind w:left="180"/>
              <w:jc w:val="center"/>
              <w:rPr>
                <w:rFonts w:ascii="宋体" w:hAnsi="宋体"/>
                <w:sz w:val="18"/>
                <w:szCs w:val="18"/>
                <w:lang w:eastAsia="zh-TW"/>
              </w:rPr>
            </w:pPr>
            <w:r>
              <w:rPr>
                <w:rFonts w:ascii="宋体" w:hAnsi="宋体" w:eastAsia="宋体"/>
                <w:sz w:val="18"/>
                <w:szCs w:val="18"/>
                <w:lang w:eastAsia="zh-CN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09" w:type="dxa"/>
            <w:gridSpan w:val="2"/>
            <w:vAlign w:val="center"/>
          </w:tcPr>
          <w:p>
            <w:pPr>
              <w:snapToGrid w:val="0"/>
              <w:rPr>
                <w:rFonts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期末考试</w:t>
            </w:r>
            <w:r>
              <w:rPr>
                <w:rFonts w:ascii="宋体" w:hAnsi="宋体" w:eastAsia="宋体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开卷</w:t>
            </w:r>
            <w:r>
              <w:rPr>
                <w:rFonts w:ascii="宋体" w:hAnsi="宋体" w:eastAsia="宋体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5811" w:type="dxa"/>
            <w:gridSpan w:val="7"/>
          </w:tcPr>
          <w:p>
            <w:pPr>
              <w:snapToGrid w:val="0"/>
              <w:jc w:val="left"/>
              <w:rPr>
                <w:rFonts w:ascii="宋体" w:hAnsi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根据评分标准评定分数</w:t>
            </w:r>
          </w:p>
        </w:tc>
        <w:tc>
          <w:tcPr>
            <w:tcW w:w="1581" w:type="dxa"/>
            <w:gridSpan w:val="2"/>
            <w:vAlign w:val="center"/>
          </w:tcPr>
          <w:p>
            <w:pPr>
              <w:snapToGrid w:val="0"/>
              <w:ind w:left="180"/>
              <w:jc w:val="center"/>
              <w:rPr>
                <w:rFonts w:ascii="宋体" w:hAnsi="宋体"/>
                <w:sz w:val="18"/>
                <w:szCs w:val="18"/>
                <w:lang w:eastAsia="zh-TW"/>
              </w:rPr>
            </w:pPr>
            <w:r>
              <w:rPr>
                <w:rFonts w:ascii="宋体" w:hAnsi="宋体" w:eastAsia="宋体"/>
                <w:sz w:val="18"/>
                <w:szCs w:val="18"/>
                <w:lang w:eastAsia="zh-CN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11"/>
            <w:vAlign w:val="center"/>
          </w:tcPr>
          <w:p>
            <w:pPr>
              <w:snapToGrid w:val="0"/>
              <w:spacing w:after="0" w:line="0" w:lineRule="atLeast"/>
              <w:ind w:left="180"/>
              <w:rPr>
                <w:sz w:val="21"/>
                <w:szCs w:val="21"/>
                <w:lang w:eastAsia="zh-TW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大纲编写时间：</w:t>
            </w:r>
            <w:r>
              <w:rPr>
                <w:rFonts w:eastAsiaTheme="minorEastAsia"/>
                <w:sz w:val="21"/>
                <w:szCs w:val="21"/>
                <w:lang w:eastAsia="zh-CN"/>
              </w:rPr>
              <w:t>201</w:t>
            </w:r>
            <w:r>
              <w:rPr>
                <w:rFonts w:eastAsia="宋体"/>
                <w:sz w:val="21"/>
                <w:szCs w:val="21"/>
                <w:lang w:eastAsia="zh-CN"/>
              </w:rPr>
              <w:t>9</w:t>
            </w:r>
            <w:r>
              <w:rPr>
                <w:rFonts w:eastAsiaTheme="minorEastAsia"/>
                <w:sz w:val="21"/>
                <w:szCs w:val="21"/>
                <w:lang w:eastAsia="zh-CN"/>
              </w:rPr>
              <w:t>-0</w:t>
            </w:r>
            <w:r>
              <w:rPr>
                <w:rFonts w:eastAsia="宋体"/>
                <w:sz w:val="21"/>
                <w:szCs w:val="21"/>
                <w:lang w:eastAsia="zh-CN"/>
              </w:rPr>
              <w:t>8</w:t>
            </w:r>
            <w:r>
              <w:rPr>
                <w:rFonts w:eastAsiaTheme="minorEastAsia"/>
                <w:sz w:val="21"/>
                <w:szCs w:val="21"/>
                <w:lang w:eastAsia="zh-CN"/>
              </w:rPr>
              <w:t>-</w:t>
            </w:r>
            <w:r>
              <w:rPr>
                <w:rFonts w:eastAsia="宋体"/>
                <w:sz w:val="21"/>
                <w:szCs w:val="21"/>
                <w:lang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7" w:hRule="atLeast"/>
          <w:jc w:val="center"/>
        </w:trPr>
        <w:tc>
          <w:tcPr>
            <w:tcW w:w="9401" w:type="dxa"/>
            <w:gridSpan w:val="11"/>
          </w:tcPr>
          <w:p>
            <w:pPr>
              <w:tabs>
                <w:tab w:val="left" w:pos="1440"/>
              </w:tabs>
              <w:spacing w:after="0" w:line="0" w:lineRule="atLeast"/>
              <w:jc w:val="left"/>
              <w:outlineLvl w:val="0"/>
              <w:rPr>
                <w:rFonts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Cs w:val="21"/>
                <w:lang w:eastAsia="zh-CN"/>
              </w:rPr>
              <w:t>系（部）审查意见：</w:t>
            </w:r>
          </w:p>
          <w:p>
            <w:pPr>
              <w:spacing w:after="0" w:line="0" w:lineRule="atLeast"/>
              <w:ind w:firstLine="476" w:firstLineChars="227"/>
              <w:jc w:val="left"/>
              <w:rPr>
                <w:sz w:val="21"/>
                <w:szCs w:val="21"/>
                <w:lang w:eastAsia="zh-TW"/>
              </w:rPr>
            </w:pPr>
          </w:p>
          <w:p>
            <w:pPr>
              <w:spacing w:after="0" w:line="0" w:lineRule="atLeast"/>
              <w:ind w:firstLine="476" w:firstLineChars="227"/>
              <w:jc w:val="left"/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我系（专业）已对本课程教学大纲进行了审查，同意执行</w:t>
            </w:r>
          </w:p>
          <w:p>
            <w:pPr>
              <w:spacing w:after="0" w:line="0" w:lineRule="atLeast"/>
              <w:ind w:right="420" w:firstLine="840" w:firstLineChars="400"/>
              <w:jc w:val="both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bookmarkStart w:id="0" w:name="_GoBack"/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1679575</wp:posOffset>
                  </wp:positionH>
                  <wp:positionV relativeFrom="paragraph">
                    <wp:posOffset>20320</wp:posOffset>
                  </wp:positionV>
                  <wp:extent cx="1663700" cy="937260"/>
                  <wp:effectExtent l="0" t="0" r="12700" b="15240"/>
                  <wp:wrapNone/>
                  <wp:docPr id="1" name="图片 1" descr="谢松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谢松霖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700" cy="937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bookmarkEnd w:id="0"/>
          </w:p>
          <w:p>
            <w:pPr>
              <w:spacing w:after="0" w:line="0" w:lineRule="atLeast"/>
              <w:ind w:right="420" w:firstLine="840" w:firstLineChars="400"/>
              <w:jc w:val="both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</w:p>
          <w:p>
            <w:pPr>
              <w:spacing w:after="0" w:line="0" w:lineRule="atLeast"/>
              <w:ind w:right="420" w:firstLine="840" w:firstLineChars="400"/>
              <w:jc w:val="both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系（部）主任签名：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 xml:space="preserve">                         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日期：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 xml:space="preserve">      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年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 xml:space="preserve">    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月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 xml:space="preserve">    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日</w:t>
            </w:r>
          </w:p>
          <w:p>
            <w:pPr>
              <w:spacing w:after="0" w:line="0" w:lineRule="atLeast"/>
              <w:ind w:right="420"/>
              <w:jc w:val="right"/>
              <w:rPr>
                <w:rFonts w:eastAsiaTheme="minorEastAsia"/>
                <w:sz w:val="21"/>
                <w:szCs w:val="21"/>
                <w:lang w:eastAsia="zh-CN"/>
              </w:rPr>
            </w:pPr>
          </w:p>
          <w:p>
            <w:pPr>
              <w:spacing w:after="0" w:line="0" w:lineRule="atLeast"/>
              <w:ind w:right="420"/>
              <w:jc w:val="right"/>
              <w:rPr>
                <w:rFonts w:eastAsiaTheme="minorEastAsia"/>
                <w:sz w:val="21"/>
                <w:szCs w:val="21"/>
                <w:lang w:eastAsia="zh-CN"/>
              </w:rPr>
            </w:pPr>
          </w:p>
          <w:p>
            <w:pPr>
              <w:spacing w:after="0" w:line="0" w:lineRule="atLeast"/>
              <w:ind w:right="420"/>
              <w:jc w:val="right"/>
              <w:rPr>
                <w:rFonts w:eastAsiaTheme="minorEastAsia"/>
                <w:sz w:val="21"/>
                <w:szCs w:val="21"/>
                <w:lang w:eastAsia="zh-CN"/>
              </w:rPr>
            </w:pPr>
          </w:p>
          <w:p>
            <w:pPr>
              <w:spacing w:after="0" w:line="0" w:lineRule="atLeast"/>
              <w:ind w:right="420"/>
              <w:jc w:val="right"/>
              <w:rPr>
                <w:rFonts w:eastAsiaTheme="minorEastAsia"/>
                <w:sz w:val="21"/>
                <w:szCs w:val="21"/>
                <w:lang w:eastAsia="zh-CN"/>
              </w:rPr>
            </w:pPr>
          </w:p>
          <w:p>
            <w:pPr>
              <w:spacing w:after="0" w:line="0" w:lineRule="atLeast"/>
              <w:ind w:right="420"/>
              <w:jc w:val="right"/>
              <w:rPr>
                <w:rFonts w:eastAsiaTheme="minorEastAsia"/>
                <w:sz w:val="21"/>
                <w:szCs w:val="21"/>
                <w:lang w:eastAsia="zh-CN"/>
              </w:rPr>
            </w:pPr>
          </w:p>
          <w:p>
            <w:pPr>
              <w:spacing w:after="0" w:line="0" w:lineRule="atLeast"/>
              <w:ind w:right="420"/>
              <w:jc w:val="right"/>
              <w:rPr>
                <w:rFonts w:eastAsiaTheme="minorEastAsia"/>
                <w:sz w:val="21"/>
                <w:szCs w:val="21"/>
                <w:lang w:eastAsia="zh-CN"/>
              </w:rPr>
            </w:pPr>
          </w:p>
          <w:p>
            <w:pPr>
              <w:spacing w:after="0" w:line="0" w:lineRule="atLeast"/>
              <w:ind w:right="420"/>
              <w:jc w:val="both"/>
              <w:rPr>
                <w:rFonts w:eastAsiaTheme="minorEastAsia"/>
                <w:sz w:val="21"/>
                <w:szCs w:val="21"/>
                <w:lang w:eastAsia="zh-CN"/>
              </w:rPr>
            </w:pPr>
          </w:p>
        </w:tc>
      </w:tr>
    </w:tbl>
    <w:p>
      <w:pPr>
        <w:ind w:left="735" w:hanging="735" w:hangingChars="350"/>
        <w:rPr>
          <w:rFonts w:eastAsiaTheme="minorEastAsia"/>
          <w:sz w:val="21"/>
          <w:szCs w:val="21"/>
          <w:lang w:eastAsia="zh-CN"/>
        </w:rPr>
      </w:pPr>
      <w:r>
        <w:rPr>
          <w:rFonts w:hint="eastAsia" w:eastAsiaTheme="minorEastAsia"/>
          <w:bCs/>
          <w:sz w:val="21"/>
          <w:szCs w:val="21"/>
          <w:lang w:eastAsia="zh-CN"/>
        </w:rPr>
        <w:t>注：</w:t>
      </w:r>
      <w:r>
        <w:rPr>
          <w:rFonts w:eastAsiaTheme="minorEastAsia"/>
          <w:bCs/>
          <w:sz w:val="21"/>
          <w:szCs w:val="21"/>
          <w:lang w:eastAsia="zh-CN"/>
        </w:rPr>
        <w:t>1</w:t>
      </w:r>
      <w:r>
        <w:rPr>
          <w:rFonts w:hint="eastAsia" w:eastAsiaTheme="minorEastAsia"/>
          <w:bCs/>
          <w:sz w:val="21"/>
          <w:szCs w:val="21"/>
          <w:lang w:eastAsia="zh-CN"/>
        </w:rPr>
        <w:t>、课程</w:t>
      </w:r>
      <w:r>
        <w:rPr>
          <w:rFonts w:hint="eastAsia" w:eastAsiaTheme="minorEastAsia"/>
          <w:sz w:val="21"/>
          <w:szCs w:val="21"/>
          <w:lang w:eastAsia="zh-CN"/>
        </w:rPr>
        <w:t>教学目标：请精炼概括</w:t>
      </w:r>
      <w:r>
        <w:rPr>
          <w:rFonts w:eastAsiaTheme="minorEastAsia"/>
          <w:sz w:val="21"/>
          <w:szCs w:val="21"/>
          <w:lang w:eastAsia="zh-CN"/>
        </w:rPr>
        <w:t>3-5</w:t>
      </w:r>
      <w:r>
        <w:rPr>
          <w:rFonts w:hint="eastAsia" w:eastAsiaTheme="minorEastAsia"/>
          <w:sz w:val="21"/>
          <w:szCs w:val="21"/>
          <w:lang w:eastAsia="zh-CN"/>
        </w:rPr>
        <w:t>条目标，并注明每条目标所要求的学习目标层次（理解、运用、分析、综合和评价）。本课程教学目标须与授课对象的专业培养目标有一定的对应关系</w:t>
      </w:r>
    </w:p>
    <w:p>
      <w:pPr>
        <w:ind w:left="735" w:hanging="735" w:hangingChars="350"/>
        <w:rPr>
          <w:rFonts w:eastAsiaTheme="minorEastAsia"/>
          <w:sz w:val="21"/>
          <w:szCs w:val="21"/>
          <w:lang w:eastAsia="zh-CN"/>
        </w:rPr>
      </w:pPr>
      <w:r>
        <w:rPr>
          <w:rFonts w:eastAsiaTheme="minorEastAsia"/>
          <w:sz w:val="21"/>
          <w:szCs w:val="21"/>
          <w:lang w:eastAsia="zh-CN"/>
        </w:rPr>
        <w:t xml:space="preserve">    2</w:t>
      </w:r>
      <w:r>
        <w:rPr>
          <w:rFonts w:hint="eastAsia" w:eastAsiaTheme="minorEastAsia"/>
          <w:sz w:val="21"/>
          <w:szCs w:val="21"/>
          <w:lang w:eastAsia="zh-CN"/>
        </w:rPr>
        <w:t>、学生核心能力即毕业要求或培养要求，请任课教师从授课对象人才培养方案中对应部分复制（</w:t>
      </w:r>
      <w:r>
        <w:rPr>
          <w:rFonts w:eastAsiaTheme="minorEastAsia"/>
          <w:sz w:val="21"/>
          <w:szCs w:val="21"/>
          <w:lang w:eastAsia="zh-CN"/>
        </w:rPr>
        <w:t>http://jwc.dgut.edu.cn/</w:t>
      </w:r>
      <w:r>
        <w:rPr>
          <w:rFonts w:hint="eastAsia" w:eastAsiaTheme="minorEastAsia"/>
          <w:sz w:val="21"/>
          <w:szCs w:val="21"/>
          <w:lang w:eastAsia="zh-CN"/>
        </w:rPr>
        <w:t>）</w:t>
      </w:r>
    </w:p>
    <w:p>
      <w:pPr>
        <w:ind w:left="735" w:hanging="735" w:hangingChars="350"/>
        <w:rPr>
          <w:rFonts w:eastAsiaTheme="minorEastAsia"/>
          <w:sz w:val="21"/>
          <w:szCs w:val="21"/>
          <w:lang w:eastAsia="zh-CN"/>
        </w:rPr>
      </w:pPr>
      <w:r>
        <w:rPr>
          <w:rFonts w:eastAsiaTheme="minorEastAsia"/>
          <w:sz w:val="21"/>
          <w:szCs w:val="21"/>
          <w:lang w:eastAsia="zh-CN"/>
        </w:rPr>
        <w:t xml:space="preserve">    3</w:t>
      </w:r>
      <w:r>
        <w:rPr>
          <w:rFonts w:hint="eastAsia" w:eastAsiaTheme="minorEastAsia"/>
          <w:sz w:val="21"/>
          <w:szCs w:val="21"/>
          <w:lang w:eastAsia="zh-CN"/>
        </w:rPr>
        <w:t>、教学方式可选：课堂讲授</w:t>
      </w:r>
      <w:r>
        <w:rPr>
          <w:rFonts w:eastAsiaTheme="minorEastAsia"/>
          <w:sz w:val="21"/>
          <w:szCs w:val="21"/>
          <w:lang w:eastAsia="zh-CN"/>
        </w:rPr>
        <w:t>/</w:t>
      </w:r>
      <w:r>
        <w:rPr>
          <w:rFonts w:hint="eastAsia" w:eastAsiaTheme="minorEastAsia"/>
          <w:sz w:val="21"/>
          <w:szCs w:val="21"/>
          <w:lang w:eastAsia="zh-CN"/>
        </w:rPr>
        <w:t>小组讨论</w:t>
      </w:r>
      <w:r>
        <w:rPr>
          <w:rFonts w:eastAsiaTheme="minorEastAsia"/>
          <w:sz w:val="21"/>
          <w:szCs w:val="21"/>
          <w:lang w:eastAsia="zh-CN"/>
        </w:rPr>
        <w:t>/</w:t>
      </w:r>
      <w:r>
        <w:rPr>
          <w:rFonts w:hint="eastAsia" w:eastAsiaTheme="minorEastAsia"/>
          <w:sz w:val="21"/>
          <w:szCs w:val="21"/>
          <w:lang w:eastAsia="zh-CN"/>
        </w:rPr>
        <w:t>实验</w:t>
      </w:r>
      <w:r>
        <w:rPr>
          <w:rFonts w:eastAsiaTheme="minorEastAsia"/>
          <w:sz w:val="21"/>
          <w:szCs w:val="21"/>
          <w:lang w:eastAsia="zh-CN"/>
        </w:rPr>
        <w:t>/</w:t>
      </w:r>
      <w:r>
        <w:rPr>
          <w:rFonts w:hint="eastAsia" w:eastAsiaTheme="minorEastAsia"/>
          <w:sz w:val="21"/>
          <w:szCs w:val="21"/>
          <w:lang w:eastAsia="zh-CN"/>
        </w:rPr>
        <w:t>实训</w:t>
      </w:r>
    </w:p>
    <w:p>
      <w:pPr>
        <w:rPr>
          <w:rFonts w:eastAsiaTheme="minorEastAsia"/>
          <w:sz w:val="21"/>
          <w:szCs w:val="21"/>
          <w:lang w:eastAsia="zh-CN"/>
        </w:rPr>
      </w:pPr>
      <w:r>
        <w:rPr>
          <w:rFonts w:eastAsiaTheme="minorEastAsia"/>
          <w:sz w:val="21"/>
          <w:szCs w:val="21"/>
          <w:lang w:eastAsia="zh-CN"/>
        </w:rPr>
        <w:t xml:space="preserve">    4</w:t>
      </w:r>
      <w:r>
        <w:rPr>
          <w:rFonts w:hint="eastAsia" w:eastAsiaTheme="minorEastAsia"/>
          <w:sz w:val="21"/>
          <w:szCs w:val="21"/>
          <w:lang w:eastAsia="zh-CN"/>
        </w:rPr>
        <w:t>、若课程无理论教学环节或无实践教学环节，可将相应的教学进度表删掉。</w:t>
      </w:r>
    </w:p>
    <w:sectPr>
      <w:footerReference r:id="rId3" w:type="default"/>
      <w:pgSz w:w="11906" w:h="16838"/>
      <w:pgMar w:top="1440" w:right="1134" w:bottom="1440" w:left="1134" w:header="851" w:footer="992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DFKai-SB">
    <w:altName w:val="Microsoft JhengHei Light"/>
    <w:panose1 w:val="03000509000000000000"/>
    <w:charset w:val="88"/>
    <w:family w:val="script"/>
    <w:pitch w:val="default"/>
    <w:sig w:usb0="00000000" w:usb1="00000000" w:usb2="00000016" w:usb3="00000000" w:csb0="00100001" w:csb1="00000000"/>
  </w:font>
  <w:font w:name="CIDFont + F2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crosoft JhengHei Light">
    <w:panose1 w:val="020B0304030504040204"/>
    <w:charset w:val="88"/>
    <w:family w:val="auto"/>
    <w:pitch w:val="default"/>
    <w:sig w:usb0="8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60313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75C39"/>
    <w:multiLevelType w:val="singleLevel"/>
    <w:tmpl w:val="58475C39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2C23799B"/>
    <w:rsid w:val="00002F6D"/>
    <w:rsid w:val="00010F5C"/>
    <w:rsid w:val="00045D92"/>
    <w:rsid w:val="00065CC8"/>
    <w:rsid w:val="0006698D"/>
    <w:rsid w:val="00071662"/>
    <w:rsid w:val="000764DB"/>
    <w:rsid w:val="00082BC6"/>
    <w:rsid w:val="00087B74"/>
    <w:rsid w:val="000B626E"/>
    <w:rsid w:val="000E0AE8"/>
    <w:rsid w:val="000E445B"/>
    <w:rsid w:val="00114239"/>
    <w:rsid w:val="00147D7B"/>
    <w:rsid w:val="00155E5A"/>
    <w:rsid w:val="0016283B"/>
    <w:rsid w:val="00171228"/>
    <w:rsid w:val="0017625B"/>
    <w:rsid w:val="0019144C"/>
    <w:rsid w:val="001B31E9"/>
    <w:rsid w:val="001D1498"/>
    <w:rsid w:val="001D28E8"/>
    <w:rsid w:val="001F13A6"/>
    <w:rsid w:val="001F20BC"/>
    <w:rsid w:val="00200F50"/>
    <w:rsid w:val="00227119"/>
    <w:rsid w:val="00243979"/>
    <w:rsid w:val="00266C0F"/>
    <w:rsid w:val="00282306"/>
    <w:rsid w:val="00297F08"/>
    <w:rsid w:val="002A4810"/>
    <w:rsid w:val="002A61FA"/>
    <w:rsid w:val="002B0E43"/>
    <w:rsid w:val="002B642F"/>
    <w:rsid w:val="002E13FC"/>
    <w:rsid w:val="002E27E1"/>
    <w:rsid w:val="002F0BB7"/>
    <w:rsid w:val="002F5205"/>
    <w:rsid w:val="002F5263"/>
    <w:rsid w:val="00302F40"/>
    <w:rsid w:val="003036F3"/>
    <w:rsid w:val="003044FA"/>
    <w:rsid w:val="00312267"/>
    <w:rsid w:val="00337A99"/>
    <w:rsid w:val="0035276D"/>
    <w:rsid w:val="0036063C"/>
    <w:rsid w:val="0036612D"/>
    <w:rsid w:val="0037561C"/>
    <w:rsid w:val="003C66D8"/>
    <w:rsid w:val="003E66A6"/>
    <w:rsid w:val="003F716D"/>
    <w:rsid w:val="00430C30"/>
    <w:rsid w:val="00433A5B"/>
    <w:rsid w:val="00457E42"/>
    <w:rsid w:val="00464F0F"/>
    <w:rsid w:val="00476184"/>
    <w:rsid w:val="0047658C"/>
    <w:rsid w:val="004960C9"/>
    <w:rsid w:val="00497F95"/>
    <w:rsid w:val="004B3994"/>
    <w:rsid w:val="004E0481"/>
    <w:rsid w:val="004E7804"/>
    <w:rsid w:val="0052008D"/>
    <w:rsid w:val="00547D6C"/>
    <w:rsid w:val="00552DB5"/>
    <w:rsid w:val="005554F9"/>
    <w:rsid w:val="005639AB"/>
    <w:rsid w:val="00567504"/>
    <w:rsid w:val="0057538A"/>
    <w:rsid w:val="00596804"/>
    <w:rsid w:val="005A03F4"/>
    <w:rsid w:val="005A6188"/>
    <w:rsid w:val="005B1D43"/>
    <w:rsid w:val="005C5EE5"/>
    <w:rsid w:val="005E0E9A"/>
    <w:rsid w:val="005F174F"/>
    <w:rsid w:val="006026E2"/>
    <w:rsid w:val="006111D6"/>
    <w:rsid w:val="00611F81"/>
    <w:rsid w:val="00614C7D"/>
    <w:rsid w:val="00652EFE"/>
    <w:rsid w:val="0065651C"/>
    <w:rsid w:val="00671F89"/>
    <w:rsid w:val="006A43FD"/>
    <w:rsid w:val="006A60D1"/>
    <w:rsid w:val="006A760D"/>
    <w:rsid w:val="006C3BA7"/>
    <w:rsid w:val="006C759E"/>
    <w:rsid w:val="006D3634"/>
    <w:rsid w:val="006E7FB2"/>
    <w:rsid w:val="00727D11"/>
    <w:rsid w:val="007351CB"/>
    <w:rsid w:val="00735FDE"/>
    <w:rsid w:val="00770F0D"/>
    <w:rsid w:val="00776AF2"/>
    <w:rsid w:val="00785779"/>
    <w:rsid w:val="007B6499"/>
    <w:rsid w:val="007D6462"/>
    <w:rsid w:val="0080225A"/>
    <w:rsid w:val="008147FF"/>
    <w:rsid w:val="00815F78"/>
    <w:rsid w:val="008224E7"/>
    <w:rsid w:val="00837AF3"/>
    <w:rsid w:val="008512DF"/>
    <w:rsid w:val="00851B7C"/>
    <w:rsid w:val="00855020"/>
    <w:rsid w:val="00860DC8"/>
    <w:rsid w:val="00863908"/>
    <w:rsid w:val="0086402C"/>
    <w:rsid w:val="00871D43"/>
    <w:rsid w:val="008827AB"/>
    <w:rsid w:val="00883663"/>
    <w:rsid w:val="00885EED"/>
    <w:rsid w:val="00892ADC"/>
    <w:rsid w:val="00896971"/>
    <w:rsid w:val="008A58C5"/>
    <w:rsid w:val="008D0607"/>
    <w:rsid w:val="008F151D"/>
    <w:rsid w:val="008F2AA2"/>
    <w:rsid w:val="0090681F"/>
    <w:rsid w:val="00917C66"/>
    <w:rsid w:val="00934268"/>
    <w:rsid w:val="00934830"/>
    <w:rsid w:val="009A2B5C"/>
    <w:rsid w:val="009B3EAE"/>
    <w:rsid w:val="009B5333"/>
    <w:rsid w:val="009B5723"/>
    <w:rsid w:val="009C62FB"/>
    <w:rsid w:val="009D3079"/>
    <w:rsid w:val="009E12C6"/>
    <w:rsid w:val="009E29E2"/>
    <w:rsid w:val="009F4682"/>
    <w:rsid w:val="00A26A3F"/>
    <w:rsid w:val="00A35D7E"/>
    <w:rsid w:val="00A44EA2"/>
    <w:rsid w:val="00A51DF0"/>
    <w:rsid w:val="00A75A06"/>
    <w:rsid w:val="00A84D68"/>
    <w:rsid w:val="00A85774"/>
    <w:rsid w:val="00AA199F"/>
    <w:rsid w:val="00AA25C3"/>
    <w:rsid w:val="00AB255C"/>
    <w:rsid w:val="00AE22E5"/>
    <w:rsid w:val="00AE3FB4"/>
    <w:rsid w:val="00AE48DD"/>
    <w:rsid w:val="00B01945"/>
    <w:rsid w:val="00B044B8"/>
    <w:rsid w:val="00B136C5"/>
    <w:rsid w:val="00B15BD6"/>
    <w:rsid w:val="00B34798"/>
    <w:rsid w:val="00B41ABD"/>
    <w:rsid w:val="00B41DEC"/>
    <w:rsid w:val="00B65A5F"/>
    <w:rsid w:val="00B769B1"/>
    <w:rsid w:val="00B81CE3"/>
    <w:rsid w:val="00BB03AE"/>
    <w:rsid w:val="00BB35F5"/>
    <w:rsid w:val="00BB3963"/>
    <w:rsid w:val="00BC31D0"/>
    <w:rsid w:val="00BC5E15"/>
    <w:rsid w:val="00BE3BD7"/>
    <w:rsid w:val="00BE4FDE"/>
    <w:rsid w:val="00BF47B5"/>
    <w:rsid w:val="00C41D05"/>
    <w:rsid w:val="00C55197"/>
    <w:rsid w:val="00C645C5"/>
    <w:rsid w:val="00C705DD"/>
    <w:rsid w:val="00C76FA2"/>
    <w:rsid w:val="00C8577C"/>
    <w:rsid w:val="00CA1AB8"/>
    <w:rsid w:val="00CA2F6E"/>
    <w:rsid w:val="00CC4A46"/>
    <w:rsid w:val="00CD2F8F"/>
    <w:rsid w:val="00CE1412"/>
    <w:rsid w:val="00CE3CB0"/>
    <w:rsid w:val="00CF1A54"/>
    <w:rsid w:val="00D004F9"/>
    <w:rsid w:val="00D1037E"/>
    <w:rsid w:val="00D12618"/>
    <w:rsid w:val="00D14B96"/>
    <w:rsid w:val="00D23279"/>
    <w:rsid w:val="00D403C4"/>
    <w:rsid w:val="00D45246"/>
    <w:rsid w:val="00D63043"/>
    <w:rsid w:val="00D75997"/>
    <w:rsid w:val="00D81429"/>
    <w:rsid w:val="00DA5F99"/>
    <w:rsid w:val="00DB45CF"/>
    <w:rsid w:val="00DB5724"/>
    <w:rsid w:val="00DB75FE"/>
    <w:rsid w:val="00DD33BF"/>
    <w:rsid w:val="00DE0A75"/>
    <w:rsid w:val="00DF5C03"/>
    <w:rsid w:val="00DF6AAE"/>
    <w:rsid w:val="00E01959"/>
    <w:rsid w:val="00E0505F"/>
    <w:rsid w:val="00E413E8"/>
    <w:rsid w:val="00E53E23"/>
    <w:rsid w:val="00E95122"/>
    <w:rsid w:val="00E9632B"/>
    <w:rsid w:val="00EC29E9"/>
    <w:rsid w:val="00EC4E95"/>
    <w:rsid w:val="00ED3FCA"/>
    <w:rsid w:val="00F07DF5"/>
    <w:rsid w:val="00F31667"/>
    <w:rsid w:val="00F34E19"/>
    <w:rsid w:val="00F41C8A"/>
    <w:rsid w:val="00F5119F"/>
    <w:rsid w:val="00F617C2"/>
    <w:rsid w:val="00F90591"/>
    <w:rsid w:val="00F921E6"/>
    <w:rsid w:val="00F96D96"/>
    <w:rsid w:val="00FA46DB"/>
    <w:rsid w:val="00FD5718"/>
    <w:rsid w:val="00FE0F5B"/>
    <w:rsid w:val="00FE1100"/>
    <w:rsid w:val="00FE22C8"/>
    <w:rsid w:val="00FF67A3"/>
    <w:rsid w:val="28AD1D92"/>
    <w:rsid w:val="2C23799B"/>
    <w:rsid w:val="4B014585"/>
    <w:rsid w:val="62602DF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20"/>
      <w:jc w:val="both"/>
    </w:pPr>
    <w:rPr>
      <w:rFonts w:ascii="Times New Roman" w:hAnsi="Times New Roman" w:eastAsia="PMingLiU" w:cs="Times New Roman"/>
      <w:sz w:val="24"/>
      <w:szCs w:val="22"/>
      <w:lang w:val="en-US" w:eastAsia="en-US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qFormat/>
    <w:uiPriority w:val="0"/>
    <w:pPr>
      <w:spacing w:after="0"/>
    </w:pPr>
    <w:rPr>
      <w:sz w:val="18"/>
      <w:szCs w:val="18"/>
    </w:rPr>
  </w:style>
  <w:style w:type="paragraph" w:styleId="3">
    <w:name w:val="footer"/>
    <w:basedOn w:val="1"/>
    <w:link w:val="1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列出段落1"/>
    <w:basedOn w:val="1"/>
    <w:qFormat/>
    <w:uiPriority w:val="34"/>
    <w:pPr>
      <w:widowControl w:val="0"/>
      <w:spacing w:after="0"/>
      <w:ind w:left="480" w:leftChars="200"/>
      <w:jc w:val="left"/>
    </w:pPr>
    <w:rPr>
      <w:rFonts w:ascii="Calibri" w:hAnsi="Calibri" w:eastAsia="DFKai-SB"/>
      <w:kern w:val="2"/>
      <w:lang w:eastAsia="zh-TW"/>
    </w:rPr>
  </w:style>
  <w:style w:type="character" w:customStyle="1" w:styleId="9">
    <w:name w:val="fontstyle01"/>
    <w:basedOn w:val="7"/>
    <w:uiPriority w:val="0"/>
    <w:rPr>
      <w:rFonts w:ascii="CIDFont + F2" w:hAnsi="CIDFont + F2" w:eastAsia="CIDFont + F2" w:cs="CIDFont + F2"/>
      <w:color w:val="000000"/>
      <w:sz w:val="20"/>
      <w:szCs w:val="20"/>
    </w:rPr>
  </w:style>
  <w:style w:type="character" w:customStyle="1" w:styleId="10">
    <w:name w:val="页眉 Char"/>
    <w:basedOn w:val="7"/>
    <w:link w:val="4"/>
    <w:uiPriority w:val="0"/>
    <w:rPr>
      <w:rFonts w:eastAsia="PMingLiU"/>
      <w:sz w:val="18"/>
      <w:szCs w:val="18"/>
      <w:lang w:eastAsia="en-US"/>
    </w:rPr>
  </w:style>
  <w:style w:type="character" w:customStyle="1" w:styleId="11">
    <w:name w:val="页脚 Char"/>
    <w:basedOn w:val="7"/>
    <w:link w:val="3"/>
    <w:uiPriority w:val="99"/>
    <w:rPr>
      <w:rFonts w:eastAsia="PMingLiU"/>
      <w:sz w:val="18"/>
      <w:szCs w:val="18"/>
      <w:lang w:eastAsia="en-US"/>
    </w:rPr>
  </w:style>
  <w:style w:type="paragraph" w:styleId="12">
    <w:name w:val="List Paragraph"/>
    <w:basedOn w:val="1"/>
    <w:unhideWhenUsed/>
    <w:qFormat/>
    <w:uiPriority w:val="34"/>
    <w:pPr>
      <w:ind w:firstLine="420" w:firstLineChars="200"/>
    </w:pPr>
  </w:style>
  <w:style w:type="character" w:customStyle="1" w:styleId="13">
    <w:name w:val="批注框文本 Char"/>
    <w:basedOn w:val="7"/>
    <w:link w:val="2"/>
    <w:qFormat/>
    <w:uiPriority w:val="0"/>
    <w:rPr>
      <w:rFonts w:eastAsia="PMingLiU"/>
      <w:sz w:val="18"/>
      <w:szCs w:val="18"/>
      <w:lang w:eastAsia="en-US"/>
    </w:rPr>
  </w:style>
  <w:style w:type="character" w:customStyle="1" w:styleId="14">
    <w:name w:val="st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DE483FE-281E-407C-B6E2-D449E2102FA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6</Pages>
  <Words>637</Words>
  <Characters>3633</Characters>
  <Lines>30</Lines>
  <Paragraphs>8</Paragraphs>
  <TotalTime>0</TotalTime>
  <ScaleCrop>false</ScaleCrop>
  <LinksUpToDate>false</LinksUpToDate>
  <CharactersWithSpaces>4262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2019-09-12T08:22:00Z</dcterms:created>
  <dc:creator>lenovo</dc:creator>
  <cp:lastModifiedBy>落情湖</cp:lastModifiedBy>
  <cp:lastPrinted>2018-03-26T04:18:00Z</cp:lastPrinted>
  <dcterms:modified xsi:type="dcterms:W3CDTF">2019-09-27T03:08:54Z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